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880524"/>
        <w:docPartObj>
          <w:docPartGallery w:val="Cover Pages"/>
          <w:docPartUnique/>
        </w:docPartObj>
      </w:sdtPr>
      <w:sdtContent>
        <w:p w14:paraId="72D8472F" w14:textId="77777777" w:rsidR="00097E71" w:rsidRPr="00097E71" w:rsidRDefault="00097E71" w:rsidP="00097E71"/>
        <w:p w14:paraId="6E2FDE37" w14:textId="77777777" w:rsidR="00097E71" w:rsidRPr="00795E2B" w:rsidRDefault="00097E71" w:rsidP="00097E71">
          <w:pPr>
            <w:ind w:left="1440" w:right="424"/>
            <w:rPr>
              <w:i/>
              <w:color w:val="00B050"/>
              <w:szCs w:val="22"/>
            </w:rPr>
          </w:pPr>
        </w:p>
        <w:p w14:paraId="3D6CE5D5" w14:textId="77777777" w:rsidR="00FB621C" w:rsidRDefault="00FB621C" w:rsidP="00097E71">
          <w:pPr>
            <w:pStyle w:val="NoSpacing"/>
            <w:ind w:left="720" w:right="424" w:firstLine="720"/>
            <w:jc w:val="right"/>
            <w:rPr>
              <w:b/>
              <w:color w:val="000000" w:themeColor="text1"/>
              <w:sz w:val="40"/>
              <w:szCs w:val="40"/>
            </w:rPr>
          </w:pPr>
        </w:p>
        <w:p w14:paraId="15B9EDFB" w14:textId="77777777" w:rsidR="00097E71" w:rsidRPr="008F397F" w:rsidRDefault="00FB621C" w:rsidP="00097E71">
          <w:pPr>
            <w:pStyle w:val="NoSpacing"/>
            <w:ind w:left="720" w:right="424" w:firstLine="720"/>
            <w:jc w:val="right"/>
            <w:rPr>
              <w:color w:val="000000" w:themeColor="text1"/>
            </w:rPr>
          </w:pPr>
          <w:r>
            <w:rPr>
              <w:b/>
              <w:color w:val="000000" w:themeColor="text1"/>
              <w:sz w:val="40"/>
              <w:szCs w:val="40"/>
            </w:rPr>
            <w:t>Information Governance Policy</w:t>
          </w:r>
        </w:p>
        <w:p w14:paraId="18EB623F" w14:textId="26C7CEC6" w:rsidR="00097E71" w:rsidRDefault="00097E71" w:rsidP="00097E71">
          <w:pPr>
            <w:ind w:left="1440"/>
            <w:rPr>
              <w:i/>
              <w:color w:val="4F81BD"/>
              <w:szCs w:val="22"/>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8"/>
            <w:gridCol w:w="657"/>
            <w:gridCol w:w="520"/>
            <w:gridCol w:w="764"/>
            <w:gridCol w:w="233"/>
            <w:gridCol w:w="1103"/>
            <w:gridCol w:w="1863"/>
            <w:gridCol w:w="1318"/>
          </w:tblGrid>
          <w:tr w:rsidR="00D701A7" w14:paraId="0B3702BA" w14:textId="77777777" w:rsidTr="00D701A7">
            <w:tc>
              <w:tcPr>
                <w:tcW w:w="1708" w:type="dxa"/>
              </w:tcPr>
              <w:p w14:paraId="1924B6DF" w14:textId="77777777" w:rsidR="00D701A7" w:rsidRPr="00E35450" w:rsidRDefault="00D701A7" w:rsidP="00D701A7">
                <w:pPr>
                  <w:jc w:val="left"/>
                  <w:rPr>
                    <w:b/>
                    <w:color w:val="FF0000"/>
                  </w:rPr>
                </w:pPr>
                <w:r w:rsidRPr="00E35450">
                  <w:rPr>
                    <w:b/>
                    <w:color w:val="FF0000"/>
                  </w:rPr>
                  <w:t>Document No</w:t>
                </w:r>
              </w:p>
            </w:tc>
            <w:tc>
              <w:tcPr>
                <w:tcW w:w="3277" w:type="dxa"/>
                <w:gridSpan w:val="5"/>
              </w:tcPr>
              <w:p w14:paraId="30885464" w14:textId="77777777" w:rsidR="00D701A7" w:rsidRPr="00E35450" w:rsidRDefault="00D701A7" w:rsidP="00D701A7">
                <w:pPr>
                  <w:jc w:val="left"/>
                  <w:rPr>
                    <w:rFonts w:cs="Arial"/>
                    <w:color w:val="FF0000"/>
                  </w:rPr>
                </w:pPr>
                <w:r w:rsidRPr="005A6F7B">
                  <w:rPr>
                    <w:rFonts w:cs="Arial"/>
                    <w:color w:val="FF0000"/>
                  </w:rPr>
                  <w:t>IG - 00005</w:t>
                </w:r>
              </w:p>
            </w:tc>
            <w:tc>
              <w:tcPr>
                <w:tcW w:w="1863" w:type="dxa"/>
              </w:tcPr>
              <w:p w14:paraId="791A4FD3" w14:textId="77777777" w:rsidR="00D701A7" w:rsidRPr="00E35450" w:rsidRDefault="00D701A7" w:rsidP="00D701A7">
                <w:pPr>
                  <w:jc w:val="left"/>
                  <w:rPr>
                    <w:b/>
                    <w:color w:val="FF0000"/>
                  </w:rPr>
                </w:pPr>
                <w:r w:rsidRPr="00E35450">
                  <w:rPr>
                    <w:b/>
                    <w:color w:val="FF0000"/>
                  </w:rPr>
                  <w:t>Version No</w:t>
                </w:r>
              </w:p>
            </w:tc>
            <w:tc>
              <w:tcPr>
                <w:tcW w:w="1318" w:type="dxa"/>
              </w:tcPr>
              <w:p w14:paraId="01754725" w14:textId="01A17BCC" w:rsidR="00D701A7" w:rsidRPr="00E35450" w:rsidRDefault="00D701A7" w:rsidP="00D701A7">
                <w:pPr>
                  <w:jc w:val="left"/>
                  <w:rPr>
                    <w:color w:val="FF0000"/>
                  </w:rPr>
                </w:pPr>
                <w:r>
                  <w:rPr>
                    <w:color w:val="FF0000"/>
                  </w:rPr>
                  <w:t>2.0</w:t>
                </w:r>
              </w:p>
            </w:tc>
          </w:tr>
          <w:tr w:rsidR="00D701A7" w14:paraId="5E5EEC9D" w14:textId="77777777" w:rsidTr="00D701A7">
            <w:trPr>
              <w:trHeight w:val="67"/>
            </w:trPr>
            <w:tc>
              <w:tcPr>
                <w:tcW w:w="1708" w:type="dxa"/>
              </w:tcPr>
              <w:p w14:paraId="58705A75" w14:textId="77777777" w:rsidR="00D701A7" w:rsidRPr="00E35450" w:rsidRDefault="00D701A7" w:rsidP="00D701A7">
                <w:pPr>
                  <w:jc w:val="left"/>
                  <w:rPr>
                    <w:b/>
                    <w:color w:val="FF0000"/>
                  </w:rPr>
                </w:pPr>
                <w:r w:rsidRPr="00E35450">
                  <w:rPr>
                    <w:b/>
                    <w:color w:val="FF0000"/>
                  </w:rPr>
                  <w:t>Approved by</w:t>
                </w:r>
              </w:p>
            </w:tc>
            <w:tc>
              <w:tcPr>
                <w:tcW w:w="3277" w:type="dxa"/>
                <w:gridSpan w:val="5"/>
              </w:tcPr>
              <w:p w14:paraId="694B2B62" w14:textId="77777777" w:rsidR="00D701A7" w:rsidRPr="00E35450" w:rsidRDefault="00D701A7" w:rsidP="00D701A7">
                <w:pPr>
                  <w:jc w:val="left"/>
                  <w:rPr>
                    <w:color w:val="FF0000"/>
                  </w:rPr>
                </w:pPr>
                <w:r>
                  <w:rPr>
                    <w:color w:val="FF0000"/>
                  </w:rPr>
                  <w:t>Policy Governance Group</w:t>
                </w:r>
              </w:p>
            </w:tc>
            <w:tc>
              <w:tcPr>
                <w:tcW w:w="1863" w:type="dxa"/>
              </w:tcPr>
              <w:p w14:paraId="03CC2DEA" w14:textId="77777777" w:rsidR="00D701A7" w:rsidRPr="00E35450" w:rsidRDefault="00D701A7" w:rsidP="00D701A7">
                <w:pPr>
                  <w:jc w:val="left"/>
                  <w:rPr>
                    <w:b/>
                    <w:color w:val="FF0000"/>
                  </w:rPr>
                </w:pPr>
                <w:r w:rsidRPr="00E35450">
                  <w:rPr>
                    <w:b/>
                    <w:color w:val="FF0000"/>
                  </w:rPr>
                  <w:t>Date Approved</w:t>
                </w:r>
              </w:p>
            </w:tc>
            <w:tc>
              <w:tcPr>
                <w:tcW w:w="1318" w:type="dxa"/>
              </w:tcPr>
              <w:p w14:paraId="4B0A1F48" w14:textId="28A9A793" w:rsidR="00D701A7" w:rsidRPr="00E35450" w:rsidRDefault="00D701A7" w:rsidP="00D701A7">
                <w:pPr>
                  <w:jc w:val="left"/>
                  <w:rPr>
                    <w:color w:val="FF0000"/>
                  </w:rPr>
                </w:pPr>
                <w:r>
                  <w:rPr>
                    <w:color w:val="FF0000"/>
                  </w:rPr>
                  <w:t>15/11/2021</w:t>
                </w:r>
              </w:p>
            </w:tc>
          </w:tr>
          <w:tr w:rsidR="00D701A7" w14:paraId="6322AD0F" w14:textId="77777777" w:rsidTr="00D701A7">
            <w:tc>
              <w:tcPr>
                <w:tcW w:w="1708" w:type="dxa"/>
              </w:tcPr>
              <w:p w14:paraId="7AA82C9B" w14:textId="77777777" w:rsidR="00D701A7" w:rsidRPr="00E35450" w:rsidRDefault="00D701A7" w:rsidP="00D701A7">
                <w:pPr>
                  <w:jc w:val="left"/>
                  <w:rPr>
                    <w:b/>
                    <w:color w:val="FF0000"/>
                  </w:rPr>
                </w:pPr>
                <w:r w:rsidRPr="00E35450">
                  <w:rPr>
                    <w:b/>
                    <w:color w:val="FF0000"/>
                  </w:rPr>
                  <w:t>Ratified by</w:t>
                </w:r>
              </w:p>
            </w:tc>
            <w:tc>
              <w:tcPr>
                <w:tcW w:w="3277" w:type="dxa"/>
                <w:gridSpan w:val="5"/>
              </w:tcPr>
              <w:p w14:paraId="20C433E4" w14:textId="77777777" w:rsidR="00D701A7" w:rsidRPr="00E35450" w:rsidRDefault="00D701A7" w:rsidP="00D701A7">
                <w:pPr>
                  <w:jc w:val="left"/>
                  <w:rPr>
                    <w:color w:val="FF0000"/>
                  </w:rPr>
                </w:pPr>
                <w:r>
                  <w:rPr>
                    <w:color w:val="FF0000"/>
                  </w:rPr>
                  <w:t>Information Governance Steering Group</w:t>
                </w:r>
              </w:p>
            </w:tc>
            <w:tc>
              <w:tcPr>
                <w:tcW w:w="1863" w:type="dxa"/>
              </w:tcPr>
              <w:p w14:paraId="220775CA" w14:textId="77777777" w:rsidR="00D701A7" w:rsidRPr="00E35450" w:rsidRDefault="00D701A7" w:rsidP="00D701A7">
                <w:pPr>
                  <w:jc w:val="left"/>
                  <w:rPr>
                    <w:b/>
                    <w:color w:val="FF0000"/>
                  </w:rPr>
                </w:pPr>
                <w:r w:rsidRPr="00E35450">
                  <w:rPr>
                    <w:b/>
                    <w:color w:val="FF0000"/>
                  </w:rPr>
                  <w:t>Date Ratified</w:t>
                </w:r>
              </w:p>
            </w:tc>
            <w:tc>
              <w:tcPr>
                <w:tcW w:w="1318" w:type="dxa"/>
              </w:tcPr>
              <w:p w14:paraId="133E968F" w14:textId="691BB9FA" w:rsidR="00D701A7" w:rsidRPr="00E35450" w:rsidRDefault="00D701A7" w:rsidP="00D701A7">
                <w:pPr>
                  <w:jc w:val="left"/>
                  <w:rPr>
                    <w:color w:val="FF0000"/>
                  </w:rPr>
                </w:pPr>
                <w:r>
                  <w:rPr>
                    <w:color w:val="FF0000"/>
                  </w:rPr>
                  <w:t>24/11/2021</w:t>
                </w:r>
              </w:p>
            </w:tc>
          </w:tr>
          <w:tr w:rsidR="00D701A7" w14:paraId="134729E4" w14:textId="77777777" w:rsidTr="00D701A7">
            <w:tc>
              <w:tcPr>
                <w:tcW w:w="3649" w:type="dxa"/>
                <w:gridSpan w:val="4"/>
              </w:tcPr>
              <w:p w14:paraId="445612BB" w14:textId="77777777" w:rsidR="00D701A7" w:rsidRPr="00E35450" w:rsidRDefault="00D701A7" w:rsidP="00D701A7">
                <w:pPr>
                  <w:jc w:val="left"/>
                  <w:rPr>
                    <w:b/>
                    <w:color w:val="FF0000"/>
                  </w:rPr>
                </w:pPr>
                <w:r w:rsidRPr="00E35450">
                  <w:rPr>
                    <w:b/>
                    <w:color w:val="FF0000"/>
                  </w:rPr>
                  <w:t>Date implemented (made live for use)</w:t>
                </w:r>
              </w:p>
            </w:tc>
            <w:tc>
              <w:tcPr>
                <w:tcW w:w="1336" w:type="dxa"/>
                <w:gridSpan w:val="2"/>
              </w:tcPr>
              <w:p w14:paraId="35197A8F" w14:textId="46EF6F32" w:rsidR="00D701A7" w:rsidRPr="00E35450" w:rsidRDefault="00D701A7" w:rsidP="00D701A7">
                <w:pPr>
                  <w:jc w:val="left"/>
                  <w:rPr>
                    <w:color w:val="FF0000"/>
                  </w:rPr>
                </w:pPr>
                <w:r>
                  <w:rPr>
                    <w:color w:val="FF0000"/>
                  </w:rPr>
                  <w:t>24/11/2021</w:t>
                </w:r>
              </w:p>
            </w:tc>
            <w:tc>
              <w:tcPr>
                <w:tcW w:w="1863" w:type="dxa"/>
              </w:tcPr>
              <w:p w14:paraId="2D7F85A2" w14:textId="77777777" w:rsidR="00D701A7" w:rsidRPr="00E35450" w:rsidRDefault="00D701A7" w:rsidP="00D701A7">
                <w:pPr>
                  <w:jc w:val="left"/>
                  <w:rPr>
                    <w:b/>
                    <w:color w:val="FF0000"/>
                  </w:rPr>
                </w:pPr>
                <w:r w:rsidRPr="00E35450">
                  <w:rPr>
                    <w:b/>
                    <w:color w:val="FF0000"/>
                  </w:rPr>
                  <w:t>Next Review Date</w:t>
                </w:r>
              </w:p>
            </w:tc>
            <w:tc>
              <w:tcPr>
                <w:tcW w:w="1318" w:type="dxa"/>
              </w:tcPr>
              <w:p w14:paraId="10366ED9" w14:textId="7B2354E4" w:rsidR="00D701A7" w:rsidRPr="00E35450" w:rsidRDefault="00D701A7" w:rsidP="00D701A7">
                <w:pPr>
                  <w:jc w:val="left"/>
                  <w:rPr>
                    <w:color w:val="FF0000"/>
                  </w:rPr>
                </w:pPr>
                <w:r>
                  <w:rPr>
                    <w:color w:val="FF0000"/>
                  </w:rPr>
                  <w:t>24/11/2024</w:t>
                </w:r>
              </w:p>
            </w:tc>
          </w:tr>
          <w:tr w:rsidR="00097E71" w14:paraId="6F455F2D" w14:textId="77777777" w:rsidTr="00D701A7">
            <w:tc>
              <w:tcPr>
                <w:tcW w:w="2885" w:type="dxa"/>
                <w:gridSpan w:val="3"/>
              </w:tcPr>
              <w:p w14:paraId="2C1EC601" w14:textId="77777777" w:rsidR="00097E71" w:rsidRPr="00E35450" w:rsidRDefault="00097E71" w:rsidP="009D2C41">
                <w:pPr>
                  <w:jc w:val="left"/>
                  <w:rPr>
                    <w:b/>
                  </w:rPr>
                </w:pPr>
                <w:r w:rsidRPr="00E35450">
                  <w:rPr>
                    <w:b/>
                  </w:rPr>
                  <w:t>Status</w:t>
                </w:r>
              </w:p>
            </w:tc>
            <w:tc>
              <w:tcPr>
                <w:tcW w:w="5281" w:type="dxa"/>
                <w:gridSpan w:val="5"/>
              </w:tcPr>
              <w:p w14:paraId="339ED45A" w14:textId="77777777" w:rsidR="00097E71" w:rsidRPr="00E35450" w:rsidRDefault="005A6F7B" w:rsidP="009D2C41">
                <w:pPr>
                  <w:jc w:val="left"/>
                  <w:rPr>
                    <w:color w:val="FF0000"/>
                  </w:rPr>
                </w:pPr>
                <w:r>
                  <w:rPr>
                    <w:color w:val="FF0000"/>
                  </w:rPr>
                  <w:t>LIVE</w:t>
                </w:r>
              </w:p>
            </w:tc>
          </w:tr>
          <w:tr w:rsidR="00097E71" w14:paraId="675BB933" w14:textId="77777777" w:rsidTr="00D701A7">
            <w:tc>
              <w:tcPr>
                <w:tcW w:w="3882" w:type="dxa"/>
                <w:gridSpan w:val="5"/>
              </w:tcPr>
              <w:p w14:paraId="5361436C" w14:textId="77777777" w:rsidR="00097E71" w:rsidRPr="00FB621C" w:rsidRDefault="00097E71" w:rsidP="009D2C41">
                <w:pPr>
                  <w:rPr>
                    <w:rFonts w:cs="Arial"/>
                    <w:bCs/>
                    <w:szCs w:val="22"/>
                  </w:rPr>
                </w:pPr>
                <w:r w:rsidRPr="00FB621C">
                  <w:rPr>
                    <w:b/>
                  </w:rPr>
                  <w:t>Target Audience-</w:t>
                </w:r>
                <w:r w:rsidRPr="00FB621C">
                  <w:t xml:space="preserve"> who does the document apply to and </w:t>
                </w:r>
                <w:r w:rsidRPr="00FB621C">
                  <w:rPr>
                    <w:u w:val="single"/>
                  </w:rPr>
                  <w:t>who should be using it</w:t>
                </w:r>
                <w:r w:rsidRPr="00FB621C">
                  <w:t>.  -</w:t>
                </w:r>
                <w:r w:rsidRPr="00FB621C">
                  <w:rPr>
                    <w:rFonts w:cs="Arial"/>
                    <w:bCs/>
                    <w:szCs w:val="22"/>
                  </w:rPr>
                  <w:t xml:space="preserve"> </w:t>
                </w:r>
                <w:r w:rsidRPr="00FB621C">
                  <w:rPr>
                    <w:rFonts w:cs="Arial"/>
                    <w:bCs/>
                  </w:rPr>
                  <w:t>The target audience has the responsibility to ensure their compliance with this document by</w:t>
                </w:r>
                <w:r w:rsidRPr="00FB621C">
                  <w:rPr>
                    <w:rFonts w:cs="Arial"/>
                    <w:bCs/>
                    <w:szCs w:val="22"/>
                  </w:rPr>
                  <w:t>:</w:t>
                </w:r>
              </w:p>
              <w:p w14:paraId="55646CA9" w14:textId="77777777" w:rsidR="00097E71" w:rsidRPr="00FB621C" w:rsidRDefault="00097E71" w:rsidP="00097E71">
                <w:pPr>
                  <w:pStyle w:val="ListParagraph"/>
                  <w:numPr>
                    <w:ilvl w:val="0"/>
                    <w:numId w:val="3"/>
                  </w:numPr>
                  <w:ind w:left="403"/>
                  <w:jc w:val="left"/>
                  <w:rPr>
                    <w:rFonts w:cs="Arial"/>
                    <w:bCs/>
                  </w:rPr>
                </w:pPr>
                <w:r w:rsidRPr="00FB621C">
                  <w:rPr>
                    <w:rFonts w:cs="Arial"/>
                    <w:bCs/>
                  </w:rPr>
                  <w:t>Ensuring any training required is attended and kept up to date.</w:t>
                </w:r>
              </w:p>
              <w:p w14:paraId="08A974DA" w14:textId="77777777" w:rsidR="00097E71" w:rsidRPr="00FB621C" w:rsidRDefault="00097E71" w:rsidP="00097E71">
                <w:pPr>
                  <w:pStyle w:val="ListParagraph"/>
                  <w:numPr>
                    <w:ilvl w:val="0"/>
                    <w:numId w:val="3"/>
                  </w:numPr>
                  <w:ind w:left="403"/>
                  <w:jc w:val="left"/>
                  <w:rPr>
                    <w:rFonts w:cs="Arial"/>
                    <w:bCs/>
                  </w:rPr>
                </w:pPr>
                <w:r w:rsidRPr="00FB621C">
                  <w:rPr>
                    <w:rFonts w:cs="Arial"/>
                    <w:bCs/>
                  </w:rPr>
                  <w:t>Ensuring any competencies required are maintained.</w:t>
                </w:r>
              </w:p>
              <w:p w14:paraId="67F4806C" w14:textId="77777777" w:rsidR="00097E71" w:rsidRPr="00FB621C" w:rsidRDefault="00097E71" w:rsidP="00097E71">
                <w:pPr>
                  <w:pStyle w:val="ListParagraph"/>
                  <w:numPr>
                    <w:ilvl w:val="0"/>
                    <w:numId w:val="3"/>
                  </w:numPr>
                  <w:ind w:left="403"/>
                  <w:jc w:val="left"/>
                  <w:rPr>
                    <w:rFonts w:cs="Arial"/>
                    <w:bCs/>
                  </w:rPr>
                </w:pPr>
                <w:r w:rsidRPr="00FB621C">
                  <w:rPr>
                    <w:rFonts w:cs="Arial"/>
                    <w:bCs/>
                  </w:rPr>
                  <w:t>Co-operating with the development and implementation of policies as part of their normal duties and responsibilities.</w:t>
                </w:r>
              </w:p>
            </w:tc>
            <w:tc>
              <w:tcPr>
                <w:tcW w:w="4284" w:type="dxa"/>
                <w:gridSpan w:val="3"/>
              </w:tcPr>
              <w:p w14:paraId="29EF960A" w14:textId="77777777" w:rsidR="00097E71" w:rsidRPr="00FB621C" w:rsidRDefault="00097E71" w:rsidP="009D2C41">
                <w:pPr>
                  <w:jc w:val="left"/>
                </w:pPr>
                <w:r w:rsidRPr="00FB621C">
                  <w:t>All employees directly employed by the Trust whether permanent, part-time or temporary (including fixed-term contract).  It applies equally to all others working for the Trust, including private-sector, voluntary-sector, bank, agency, locum, and secondees.  For simplicity, they are referred to as ‘employees’ throughout this policy</w:t>
                </w:r>
              </w:p>
            </w:tc>
          </w:tr>
          <w:tr w:rsidR="00097E71" w14:paraId="2B9B670C" w14:textId="77777777" w:rsidTr="00D701A7">
            <w:tc>
              <w:tcPr>
                <w:tcW w:w="3882" w:type="dxa"/>
                <w:gridSpan w:val="5"/>
              </w:tcPr>
              <w:p w14:paraId="44DCC2E0" w14:textId="77777777" w:rsidR="00097E71" w:rsidRPr="00E35450" w:rsidRDefault="00097E71" w:rsidP="009D2C41">
                <w:pPr>
                  <w:jc w:val="left"/>
                  <w:rPr>
                    <w:b/>
                  </w:rPr>
                </w:pPr>
                <w:r>
                  <w:rPr>
                    <w:b/>
                  </w:rPr>
                  <w:t xml:space="preserve">Special Cases </w:t>
                </w:r>
              </w:p>
            </w:tc>
            <w:tc>
              <w:tcPr>
                <w:tcW w:w="4284" w:type="dxa"/>
                <w:gridSpan w:val="3"/>
              </w:tcPr>
              <w:p w14:paraId="642CF40C" w14:textId="77777777" w:rsidR="00097E71" w:rsidRPr="00FB621C" w:rsidRDefault="001208FF" w:rsidP="009D2C41">
                <w:pPr>
                  <w:ind w:right="424"/>
                  <w:rPr>
                    <w:color w:val="00B050"/>
                  </w:rPr>
                </w:pPr>
                <w:r w:rsidRPr="001208FF">
                  <w:t>None</w:t>
                </w:r>
              </w:p>
            </w:tc>
          </w:tr>
          <w:tr w:rsidR="00097E71" w14:paraId="03FB24AA" w14:textId="77777777" w:rsidTr="00D701A7">
            <w:trPr>
              <w:trHeight w:val="324"/>
            </w:trPr>
            <w:tc>
              <w:tcPr>
                <w:tcW w:w="3882" w:type="dxa"/>
                <w:gridSpan w:val="5"/>
              </w:tcPr>
              <w:p w14:paraId="03CD066A" w14:textId="77777777" w:rsidR="00097E71" w:rsidRPr="00E35450" w:rsidRDefault="00097E71" w:rsidP="009D2C41">
                <w:pPr>
                  <w:jc w:val="left"/>
                  <w:rPr>
                    <w:b/>
                  </w:rPr>
                </w:pPr>
                <w:r w:rsidRPr="00E35450">
                  <w:rPr>
                    <w:b/>
                  </w:rPr>
                  <w:t xml:space="preserve">Accountable Director </w:t>
                </w:r>
              </w:p>
            </w:tc>
            <w:tc>
              <w:tcPr>
                <w:tcW w:w="4284" w:type="dxa"/>
                <w:gridSpan w:val="3"/>
              </w:tcPr>
              <w:p w14:paraId="6B7BB5D2" w14:textId="77777777" w:rsidR="00097E71" w:rsidRPr="00FB621C" w:rsidRDefault="00FB621C" w:rsidP="001208FF">
                <w:pPr>
                  <w:jc w:val="left"/>
                </w:pPr>
                <w:r>
                  <w:t xml:space="preserve">Director of Finance / </w:t>
                </w:r>
                <w:r w:rsidR="001208FF">
                  <w:t>Senior Information Risk Owner (S</w:t>
                </w:r>
                <w:r>
                  <w:t>IRO</w:t>
                </w:r>
                <w:r w:rsidR="001208FF">
                  <w:t xml:space="preserve">) </w:t>
                </w:r>
                <w:r>
                  <w:t>&amp; Medical Director / Caldicott Guardian</w:t>
                </w:r>
              </w:p>
            </w:tc>
          </w:tr>
          <w:tr w:rsidR="00097E71" w14:paraId="53411C95" w14:textId="77777777" w:rsidTr="00D701A7">
            <w:tc>
              <w:tcPr>
                <w:tcW w:w="3882" w:type="dxa"/>
                <w:gridSpan w:val="5"/>
              </w:tcPr>
              <w:p w14:paraId="54BA4C79" w14:textId="77777777" w:rsidR="00097E71" w:rsidRPr="00E35450" w:rsidRDefault="00097E71" w:rsidP="009D2C41">
                <w:pPr>
                  <w:jc w:val="left"/>
                </w:pPr>
                <w:r w:rsidRPr="00E35450">
                  <w:rPr>
                    <w:b/>
                  </w:rPr>
                  <w:t>Author/originator</w:t>
                </w:r>
                <w:r w:rsidRPr="00E35450">
                  <w:t xml:space="preserve"> – Any Comments on this document should be addressed to the author</w:t>
                </w:r>
              </w:p>
            </w:tc>
            <w:tc>
              <w:tcPr>
                <w:tcW w:w="4284" w:type="dxa"/>
                <w:gridSpan w:val="3"/>
              </w:tcPr>
              <w:p w14:paraId="0A149913" w14:textId="77777777" w:rsidR="00097E71" w:rsidRPr="00FB621C" w:rsidRDefault="00FB621C" w:rsidP="00FB621C">
                <w:pPr>
                  <w:jc w:val="left"/>
                </w:pPr>
                <w:r>
                  <w:t>Information Governance Manager</w:t>
                </w:r>
              </w:p>
            </w:tc>
          </w:tr>
          <w:tr w:rsidR="00097E71" w14:paraId="14659D85" w14:textId="77777777" w:rsidTr="00D701A7">
            <w:tc>
              <w:tcPr>
                <w:tcW w:w="3882" w:type="dxa"/>
                <w:gridSpan w:val="5"/>
              </w:tcPr>
              <w:p w14:paraId="03F26031" w14:textId="77777777" w:rsidR="00097E71" w:rsidRPr="00E35450" w:rsidRDefault="00097E71" w:rsidP="009D2C41">
                <w:pPr>
                  <w:jc w:val="left"/>
                  <w:rPr>
                    <w:b/>
                  </w:rPr>
                </w:pPr>
                <w:r w:rsidRPr="00E35450">
                  <w:rPr>
                    <w:b/>
                  </w:rPr>
                  <w:t>Division and Department</w:t>
                </w:r>
              </w:p>
            </w:tc>
            <w:tc>
              <w:tcPr>
                <w:tcW w:w="4284" w:type="dxa"/>
                <w:gridSpan w:val="3"/>
              </w:tcPr>
              <w:p w14:paraId="0460E609" w14:textId="77777777" w:rsidR="00097E71" w:rsidRPr="00FB621C" w:rsidRDefault="00FB621C" w:rsidP="00FB621C">
                <w:pPr>
                  <w:jc w:val="left"/>
                </w:pPr>
                <w:r>
                  <w:t>Corporate / Finance</w:t>
                </w:r>
              </w:p>
            </w:tc>
          </w:tr>
          <w:tr w:rsidR="00097E71" w14:paraId="168310D6" w14:textId="77777777" w:rsidTr="00D701A7">
            <w:tc>
              <w:tcPr>
                <w:tcW w:w="3882" w:type="dxa"/>
                <w:gridSpan w:val="5"/>
              </w:tcPr>
              <w:p w14:paraId="1958BE47" w14:textId="77777777" w:rsidR="00097E71" w:rsidRPr="00E35450" w:rsidRDefault="00097E71" w:rsidP="009D2C41">
                <w:pPr>
                  <w:jc w:val="left"/>
                  <w:rPr>
                    <w:b/>
                  </w:rPr>
                </w:pPr>
                <w:r w:rsidRPr="00E35450">
                  <w:rPr>
                    <w:b/>
                  </w:rPr>
                  <w:t>Implementation Lead</w:t>
                </w:r>
              </w:p>
            </w:tc>
            <w:tc>
              <w:tcPr>
                <w:tcW w:w="4284" w:type="dxa"/>
                <w:gridSpan w:val="3"/>
              </w:tcPr>
              <w:p w14:paraId="7C885DCA" w14:textId="77777777" w:rsidR="00097E71" w:rsidRPr="00FB621C" w:rsidRDefault="00FB621C" w:rsidP="00FB621C">
                <w:pPr>
                  <w:jc w:val="left"/>
                </w:pPr>
                <w:r>
                  <w:t>Information Governance Manager</w:t>
                </w:r>
              </w:p>
            </w:tc>
          </w:tr>
          <w:tr w:rsidR="00097E71" w14:paraId="08FB8482" w14:textId="77777777" w:rsidTr="00D701A7">
            <w:tc>
              <w:tcPr>
                <w:tcW w:w="3882" w:type="dxa"/>
                <w:gridSpan w:val="5"/>
              </w:tcPr>
              <w:p w14:paraId="3D299E5C" w14:textId="77777777" w:rsidR="00097E71" w:rsidRPr="00E35450" w:rsidRDefault="00097E71" w:rsidP="009D2C41">
                <w:pPr>
                  <w:jc w:val="left"/>
                  <w:rPr>
                    <w:b/>
                  </w:rPr>
                </w:pPr>
                <w:r w:rsidRPr="00E35450">
                  <w:rPr>
                    <w:b/>
                  </w:rPr>
                  <w:t>If developed in partnership with another agency ratification details of the relevant agency</w:t>
                </w:r>
              </w:p>
            </w:tc>
            <w:tc>
              <w:tcPr>
                <w:tcW w:w="4284" w:type="dxa"/>
                <w:gridSpan w:val="3"/>
              </w:tcPr>
              <w:p w14:paraId="00AD073E" w14:textId="77777777" w:rsidR="00097E71" w:rsidRPr="00FB621C" w:rsidRDefault="00FB621C" w:rsidP="00FB621C">
                <w:pPr>
                  <w:jc w:val="left"/>
                </w:pPr>
                <w:r>
                  <w:t>n/a</w:t>
                </w:r>
                <w:r w:rsidR="00097E71" w:rsidRPr="00FB621C">
                  <w:t xml:space="preserve"> </w:t>
                </w:r>
              </w:p>
            </w:tc>
          </w:tr>
          <w:tr w:rsidR="00097E71" w14:paraId="5B542BD0" w14:textId="77777777" w:rsidTr="00D701A7">
            <w:tc>
              <w:tcPr>
                <w:tcW w:w="2365" w:type="dxa"/>
                <w:gridSpan w:val="2"/>
              </w:tcPr>
              <w:p w14:paraId="34171E6F" w14:textId="77777777" w:rsidR="00097E71" w:rsidRPr="00E35450" w:rsidRDefault="00097E71" w:rsidP="009D2C41">
                <w:pPr>
                  <w:jc w:val="left"/>
                  <w:rPr>
                    <w:b/>
                  </w:rPr>
                </w:pPr>
                <w:r w:rsidRPr="00E35450">
                  <w:rPr>
                    <w:b/>
                  </w:rPr>
                  <w:t>Regulatory Position</w:t>
                </w:r>
              </w:p>
            </w:tc>
            <w:tc>
              <w:tcPr>
                <w:tcW w:w="5801" w:type="dxa"/>
                <w:gridSpan w:val="6"/>
              </w:tcPr>
              <w:p w14:paraId="75F757EF" w14:textId="77777777" w:rsidR="00097E71" w:rsidRDefault="001208FF" w:rsidP="00EE48C1">
                <w:pPr>
                  <w:rPr>
                    <w:rFonts w:cs="Arial"/>
                  </w:rPr>
                </w:pPr>
                <w:r w:rsidRPr="001208FF">
                  <w:rPr>
                    <w:rFonts w:cs="Arial"/>
                  </w:rPr>
                  <w:t xml:space="preserve">The regulatory position </w:t>
                </w:r>
                <w:proofErr w:type="gramStart"/>
                <w:r w:rsidRPr="001208FF">
                  <w:rPr>
                    <w:rFonts w:cs="Arial"/>
                  </w:rPr>
                  <w:t>with regard to</w:t>
                </w:r>
                <w:proofErr w:type="gramEnd"/>
                <w:r w:rsidRPr="001208FF">
                  <w:rPr>
                    <w:rFonts w:cs="Arial"/>
                  </w:rPr>
                  <w:t xml:space="preserve"> Information Governance is complex</w:t>
                </w:r>
                <w:r>
                  <w:rPr>
                    <w:rFonts w:cs="Arial"/>
                  </w:rPr>
                  <w:t xml:space="preserve">, therefore relevant legislation, standards, guidelines and professional codes of conduct are referred to </w:t>
                </w:r>
                <w:r w:rsidR="00EE48C1">
                  <w:rPr>
                    <w:rFonts w:cs="Arial"/>
                  </w:rPr>
                  <w:t>in Section 1 of</w:t>
                </w:r>
                <w:r>
                  <w:rPr>
                    <w:rFonts w:cs="Arial"/>
                  </w:rPr>
                  <w:t xml:space="preserve"> this document.</w:t>
                </w:r>
              </w:p>
              <w:p w14:paraId="2CF55896" w14:textId="77777777" w:rsidR="00EE48C1" w:rsidRPr="001208FF" w:rsidRDefault="00EE48C1" w:rsidP="00EE48C1">
                <w:pPr>
                  <w:rPr>
                    <w:rFonts w:cs="Arial"/>
                  </w:rPr>
                </w:pPr>
              </w:p>
            </w:tc>
          </w:tr>
          <w:tr w:rsidR="00097E71" w14:paraId="706AB810" w14:textId="77777777" w:rsidTr="009D2C41">
            <w:tc>
              <w:tcPr>
                <w:tcW w:w="8166" w:type="dxa"/>
                <w:gridSpan w:val="8"/>
              </w:tcPr>
              <w:p w14:paraId="4721A2AE" w14:textId="77777777" w:rsidR="00097E71" w:rsidRPr="00E35450" w:rsidRDefault="00097E71" w:rsidP="00FB621C">
                <w:r w:rsidRPr="00D90A4E">
                  <w:rPr>
                    <w:b/>
                  </w:rPr>
                  <w:t>Review period</w:t>
                </w:r>
                <w:r>
                  <w:t xml:space="preserve">. </w:t>
                </w:r>
                <w:r w:rsidRPr="00E35450">
                  <w:t xml:space="preserve">This document will be fully reviewed every </w:t>
                </w:r>
                <w:r w:rsidR="00FB621C">
                  <w:t>three</w:t>
                </w:r>
                <w:r w:rsidRPr="00E35450">
                  <w:t xml:space="preserve"> years in accordance with the Trust’s agreed process for reviewing Trust -wide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49242942" w14:textId="77777777" w:rsidR="00FB621C" w:rsidRDefault="00FB621C" w:rsidP="009238B9">
          <w:pPr>
            <w:ind w:left="1440"/>
            <w:rPr>
              <w:color w:val="000000" w:themeColor="text1"/>
            </w:rPr>
          </w:pPr>
        </w:p>
        <w:p w14:paraId="0B4FB51A" w14:textId="77777777" w:rsidR="00EE48C1" w:rsidRDefault="00EE48C1">
          <w:pPr>
            <w:overflowPunct/>
            <w:autoSpaceDE/>
            <w:autoSpaceDN/>
            <w:adjustRightInd/>
            <w:spacing w:after="200" w:line="276" w:lineRule="auto"/>
            <w:jc w:val="left"/>
            <w:textAlignment w:val="auto"/>
            <w:rPr>
              <w:color w:val="000000" w:themeColor="text1"/>
            </w:rPr>
          </w:pPr>
          <w:r>
            <w:rPr>
              <w:color w:val="000000" w:themeColor="text1"/>
            </w:rPr>
            <w:br w:type="page"/>
          </w:r>
        </w:p>
        <w:p w14:paraId="0BE35E0C" w14:textId="77777777" w:rsidR="009238B9" w:rsidRPr="008F397F" w:rsidRDefault="00D701A7" w:rsidP="00CF26DC">
          <w:pPr>
            <w:overflowPunct/>
            <w:autoSpaceDE/>
            <w:autoSpaceDN/>
            <w:adjustRightInd/>
            <w:spacing w:after="200" w:line="276" w:lineRule="auto"/>
            <w:jc w:val="left"/>
            <w:textAlignment w:val="auto"/>
            <w:rPr>
              <w:color w:val="000000" w:themeColor="text1"/>
            </w:rPr>
          </w:pPr>
        </w:p>
      </w:sdtContent>
    </w:sdt>
    <w:sdt>
      <w:sdtPr>
        <w:rPr>
          <w:rFonts w:eastAsia="Times New Roman" w:cs="Times New Roman"/>
          <w:b w:val="0"/>
          <w:bCs w:val="0"/>
          <w:color w:val="auto"/>
          <w:sz w:val="22"/>
          <w:szCs w:val="20"/>
          <w:lang w:val="en-GB" w:eastAsia="en-US"/>
        </w:rPr>
        <w:id w:val="-1814102224"/>
        <w:docPartObj>
          <w:docPartGallery w:val="Table of Contents"/>
          <w:docPartUnique/>
        </w:docPartObj>
      </w:sdtPr>
      <w:sdtEndPr>
        <w:rPr>
          <w:noProof/>
        </w:rPr>
      </w:sdtEndPr>
      <w:sdtContent>
        <w:p w14:paraId="2C9B9D4B" w14:textId="77777777" w:rsidR="00E00446" w:rsidRPr="009238B9" w:rsidRDefault="00E00446" w:rsidP="00E219D7">
          <w:pPr>
            <w:pStyle w:val="TOCHeading"/>
          </w:pPr>
          <w:r w:rsidRPr="009238B9">
            <w:t>Contents</w:t>
          </w:r>
        </w:p>
        <w:p w14:paraId="6A952C38" w14:textId="16FA1FBC" w:rsidR="00B2533E"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84321224" w:history="1">
            <w:r w:rsidR="00B2533E" w:rsidRPr="00D76C7A">
              <w:rPr>
                <w:rStyle w:val="Hyperlink"/>
                <w:noProof/>
              </w:rPr>
              <w:t>1</w:t>
            </w:r>
            <w:r w:rsidR="00B2533E">
              <w:rPr>
                <w:rFonts w:asciiTheme="minorHAnsi" w:eastAsiaTheme="minorEastAsia" w:hAnsiTheme="minorHAnsi" w:cstheme="minorBidi"/>
                <w:noProof/>
                <w:szCs w:val="22"/>
                <w:lang w:eastAsia="en-GB"/>
              </w:rPr>
              <w:tab/>
            </w:r>
            <w:r w:rsidR="00B2533E" w:rsidRPr="00D76C7A">
              <w:rPr>
                <w:rStyle w:val="Hyperlink"/>
                <w:noProof/>
              </w:rPr>
              <w:t>Introduction &amp; Purpose</w:t>
            </w:r>
            <w:r w:rsidR="00B2533E">
              <w:rPr>
                <w:noProof/>
                <w:webHidden/>
              </w:rPr>
              <w:tab/>
            </w:r>
            <w:r w:rsidR="00B2533E">
              <w:rPr>
                <w:noProof/>
                <w:webHidden/>
              </w:rPr>
              <w:fldChar w:fldCharType="begin"/>
            </w:r>
            <w:r w:rsidR="00B2533E">
              <w:rPr>
                <w:noProof/>
                <w:webHidden/>
              </w:rPr>
              <w:instrText xml:space="preserve"> PAGEREF _Toc84321224 \h </w:instrText>
            </w:r>
            <w:r w:rsidR="00B2533E">
              <w:rPr>
                <w:noProof/>
                <w:webHidden/>
              </w:rPr>
            </w:r>
            <w:r w:rsidR="00B2533E">
              <w:rPr>
                <w:noProof/>
                <w:webHidden/>
              </w:rPr>
              <w:fldChar w:fldCharType="separate"/>
            </w:r>
            <w:r w:rsidR="00B2533E">
              <w:rPr>
                <w:noProof/>
                <w:webHidden/>
              </w:rPr>
              <w:t>2</w:t>
            </w:r>
            <w:r w:rsidR="00B2533E">
              <w:rPr>
                <w:noProof/>
                <w:webHidden/>
              </w:rPr>
              <w:fldChar w:fldCharType="end"/>
            </w:r>
          </w:hyperlink>
        </w:p>
        <w:p w14:paraId="77CE55C1" w14:textId="69A848E4" w:rsidR="00B2533E" w:rsidRDefault="00B2533E">
          <w:pPr>
            <w:pStyle w:val="TOC2"/>
            <w:rPr>
              <w:rFonts w:asciiTheme="minorHAnsi" w:eastAsiaTheme="minorEastAsia" w:hAnsiTheme="minorHAnsi" w:cstheme="minorBidi"/>
              <w:noProof/>
              <w:szCs w:val="22"/>
              <w:lang w:eastAsia="en-GB"/>
            </w:rPr>
          </w:pPr>
          <w:hyperlink w:anchor="_Toc84321225" w:history="1">
            <w:r w:rsidRPr="00D76C7A">
              <w:rPr>
                <w:rStyle w:val="Hyperlink"/>
                <w:noProof/>
              </w:rPr>
              <w:t xml:space="preserve">1.1  </w:t>
            </w:r>
            <w:r>
              <w:rPr>
                <w:rFonts w:asciiTheme="minorHAnsi" w:eastAsiaTheme="minorEastAsia" w:hAnsiTheme="minorHAnsi" w:cstheme="minorBidi"/>
                <w:noProof/>
                <w:szCs w:val="22"/>
                <w:lang w:eastAsia="en-GB"/>
              </w:rPr>
              <w:tab/>
            </w:r>
            <w:r w:rsidRPr="00D76C7A">
              <w:rPr>
                <w:rStyle w:val="Hyperlink"/>
                <w:noProof/>
              </w:rPr>
              <w:t>Glossary/Definitions</w:t>
            </w:r>
            <w:r>
              <w:rPr>
                <w:noProof/>
                <w:webHidden/>
              </w:rPr>
              <w:tab/>
            </w:r>
            <w:r>
              <w:rPr>
                <w:noProof/>
                <w:webHidden/>
              </w:rPr>
              <w:fldChar w:fldCharType="begin"/>
            </w:r>
            <w:r>
              <w:rPr>
                <w:noProof/>
                <w:webHidden/>
              </w:rPr>
              <w:instrText xml:space="preserve"> PAGEREF _Toc84321225 \h </w:instrText>
            </w:r>
            <w:r>
              <w:rPr>
                <w:noProof/>
                <w:webHidden/>
              </w:rPr>
            </w:r>
            <w:r>
              <w:rPr>
                <w:noProof/>
                <w:webHidden/>
              </w:rPr>
              <w:fldChar w:fldCharType="separate"/>
            </w:r>
            <w:r>
              <w:rPr>
                <w:noProof/>
                <w:webHidden/>
              </w:rPr>
              <w:t>2</w:t>
            </w:r>
            <w:r>
              <w:rPr>
                <w:noProof/>
                <w:webHidden/>
              </w:rPr>
              <w:fldChar w:fldCharType="end"/>
            </w:r>
          </w:hyperlink>
        </w:p>
        <w:p w14:paraId="41BCBF28" w14:textId="4F433834" w:rsidR="00B2533E" w:rsidRDefault="00B2533E">
          <w:pPr>
            <w:pStyle w:val="TOC1"/>
            <w:rPr>
              <w:rFonts w:asciiTheme="minorHAnsi" w:eastAsiaTheme="minorEastAsia" w:hAnsiTheme="minorHAnsi" w:cstheme="minorBidi"/>
              <w:noProof/>
              <w:szCs w:val="22"/>
              <w:lang w:eastAsia="en-GB"/>
            </w:rPr>
          </w:pPr>
          <w:hyperlink w:anchor="_Toc84321226" w:history="1">
            <w:r w:rsidRPr="00D76C7A">
              <w:rPr>
                <w:rStyle w:val="Hyperlink"/>
                <w:noProof/>
              </w:rPr>
              <w:t>2</w:t>
            </w:r>
            <w:r>
              <w:rPr>
                <w:rFonts w:asciiTheme="minorHAnsi" w:eastAsiaTheme="minorEastAsia" w:hAnsiTheme="minorHAnsi" w:cstheme="minorBidi"/>
                <w:noProof/>
                <w:szCs w:val="22"/>
                <w:lang w:eastAsia="en-GB"/>
              </w:rPr>
              <w:tab/>
            </w:r>
            <w:r w:rsidRPr="00D76C7A">
              <w:rPr>
                <w:rStyle w:val="Hyperlink"/>
                <w:noProof/>
              </w:rPr>
              <w:t>Main Document Requirements</w:t>
            </w:r>
            <w:r>
              <w:rPr>
                <w:noProof/>
                <w:webHidden/>
              </w:rPr>
              <w:tab/>
            </w:r>
            <w:r>
              <w:rPr>
                <w:noProof/>
                <w:webHidden/>
              </w:rPr>
              <w:fldChar w:fldCharType="begin"/>
            </w:r>
            <w:r>
              <w:rPr>
                <w:noProof/>
                <w:webHidden/>
              </w:rPr>
              <w:instrText xml:space="preserve"> PAGEREF _Toc84321226 \h </w:instrText>
            </w:r>
            <w:r>
              <w:rPr>
                <w:noProof/>
                <w:webHidden/>
              </w:rPr>
            </w:r>
            <w:r>
              <w:rPr>
                <w:noProof/>
                <w:webHidden/>
              </w:rPr>
              <w:fldChar w:fldCharType="separate"/>
            </w:r>
            <w:r>
              <w:rPr>
                <w:noProof/>
                <w:webHidden/>
              </w:rPr>
              <w:t>3</w:t>
            </w:r>
            <w:r>
              <w:rPr>
                <w:noProof/>
                <w:webHidden/>
              </w:rPr>
              <w:fldChar w:fldCharType="end"/>
            </w:r>
          </w:hyperlink>
        </w:p>
        <w:p w14:paraId="00FE26B2" w14:textId="4A0E6A37" w:rsidR="00B2533E" w:rsidRDefault="00B2533E">
          <w:pPr>
            <w:pStyle w:val="TOC2"/>
            <w:rPr>
              <w:rFonts w:asciiTheme="minorHAnsi" w:eastAsiaTheme="minorEastAsia" w:hAnsiTheme="minorHAnsi" w:cstheme="minorBidi"/>
              <w:noProof/>
              <w:szCs w:val="22"/>
              <w:lang w:eastAsia="en-GB"/>
            </w:rPr>
          </w:pPr>
          <w:hyperlink w:anchor="_Toc84321227" w:history="1">
            <w:r w:rsidRPr="00D76C7A">
              <w:rPr>
                <w:rStyle w:val="Hyperlink"/>
                <w:noProof/>
              </w:rPr>
              <w:t>2.1</w:t>
            </w:r>
            <w:r>
              <w:rPr>
                <w:rFonts w:asciiTheme="minorHAnsi" w:eastAsiaTheme="minorEastAsia" w:hAnsiTheme="minorHAnsi" w:cstheme="minorBidi"/>
                <w:noProof/>
                <w:szCs w:val="22"/>
                <w:lang w:eastAsia="en-GB"/>
              </w:rPr>
              <w:tab/>
            </w:r>
            <w:r w:rsidRPr="00D76C7A">
              <w:rPr>
                <w:rStyle w:val="Hyperlink"/>
                <w:noProof/>
              </w:rPr>
              <w:t>Key Areas of Information Governance</w:t>
            </w:r>
            <w:r>
              <w:rPr>
                <w:noProof/>
                <w:webHidden/>
              </w:rPr>
              <w:tab/>
            </w:r>
            <w:r>
              <w:rPr>
                <w:noProof/>
                <w:webHidden/>
              </w:rPr>
              <w:fldChar w:fldCharType="begin"/>
            </w:r>
            <w:r>
              <w:rPr>
                <w:noProof/>
                <w:webHidden/>
              </w:rPr>
              <w:instrText xml:space="preserve"> PAGEREF _Toc84321227 \h </w:instrText>
            </w:r>
            <w:r>
              <w:rPr>
                <w:noProof/>
                <w:webHidden/>
              </w:rPr>
            </w:r>
            <w:r>
              <w:rPr>
                <w:noProof/>
                <w:webHidden/>
              </w:rPr>
              <w:fldChar w:fldCharType="separate"/>
            </w:r>
            <w:r>
              <w:rPr>
                <w:noProof/>
                <w:webHidden/>
              </w:rPr>
              <w:t>3</w:t>
            </w:r>
            <w:r>
              <w:rPr>
                <w:noProof/>
                <w:webHidden/>
              </w:rPr>
              <w:fldChar w:fldCharType="end"/>
            </w:r>
          </w:hyperlink>
        </w:p>
        <w:p w14:paraId="311F20E1" w14:textId="6C338A4C" w:rsidR="00B2533E" w:rsidRDefault="00B2533E">
          <w:pPr>
            <w:pStyle w:val="TOC3"/>
            <w:tabs>
              <w:tab w:val="left" w:pos="1320"/>
              <w:tab w:val="right" w:leader="dot" w:pos="9912"/>
            </w:tabs>
            <w:rPr>
              <w:rFonts w:asciiTheme="minorHAnsi" w:eastAsiaTheme="minorEastAsia" w:hAnsiTheme="minorHAnsi" w:cstheme="minorBidi"/>
              <w:noProof/>
              <w:szCs w:val="22"/>
              <w:lang w:eastAsia="en-GB"/>
            </w:rPr>
          </w:pPr>
          <w:hyperlink w:anchor="_Toc84321228" w:history="1">
            <w:r w:rsidRPr="00D76C7A">
              <w:rPr>
                <w:rStyle w:val="Hyperlink"/>
                <w:noProof/>
              </w:rPr>
              <w:t>2.1.1</w:t>
            </w:r>
            <w:r>
              <w:rPr>
                <w:rFonts w:asciiTheme="minorHAnsi" w:eastAsiaTheme="minorEastAsia" w:hAnsiTheme="minorHAnsi" w:cstheme="minorBidi"/>
                <w:noProof/>
                <w:szCs w:val="22"/>
                <w:lang w:eastAsia="en-GB"/>
              </w:rPr>
              <w:tab/>
            </w:r>
            <w:r w:rsidRPr="00D76C7A">
              <w:rPr>
                <w:rStyle w:val="Hyperlink"/>
                <w:noProof/>
              </w:rPr>
              <w:t>Common Law Duty of Confidentiality</w:t>
            </w:r>
            <w:r>
              <w:rPr>
                <w:noProof/>
                <w:webHidden/>
              </w:rPr>
              <w:tab/>
            </w:r>
            <w:r>
              <w:rPr>
                <w:noProof/>
                <w:webHidden/>
              </w:rPr>
              <w:fldChar w:fldCharType="begin"/>
            </w:r>
            <w:r>
              <w:rPr>
                <w:noProof/>
                <w:webHidden/>
              </w:rPr>
              <w:instrText xml:space="preserve"> PAGEREF _Toc84321228 \h </w:instrText>
            </w:r>
            <w:r>
              <w:rPr>
                <w:noProof/>
                <w:webHidden/>
              </w:rPr>
            </w:r>
            <w:r>
              <w:rPr>
                <w:noProof/>
                <w:webHidden/>
              </w:rPr>
              <w:fldChar w:fldCharType="separate"/>
            </w:r>
            <w:r>
              <w:rPr>
                <w:noProof/>
                <w:webHidden/>
              </w:rPr>
              <w:t>3</w:t>
            </w:r>
            <w:r>
              <w:rPr>
                <w:noProof/>
                <w:webHidden/>
              </w:rPr>
              <w:fldChar w:fldCharType="end"/>
            </w:r>
          </w:hyperlink>
        </w:p>
        <w:p w14:paraId="123D23A5" w14:textId="1AE6F1B1" w:rsidR="00B2533E" w:rsidRDefault="00B2533E">
          <w:pPr>
            <w:pStyle w:val="TOC3"/>
            <w:tabs>
              <w:tab w:val="left" w:pos="1320"/>
              <w:tab w:val="right" w:leader="dot" w:pos="9912"/>
            </w:tabs>
            <w:rPr>
              <w:rFonts w:asciiTheme="minorHAnsi" w:eastAsiaTheme="minorEastAsia" w:hAnsiTheme="minorHAnsi" w:cstheme="minorBidi"/>
              <w:noProof/>
              <w:szCs w:val="22"/>
              <w:lang w:eastAsia="en-GB"/>
            </w:rPr>
          </w:pPr>
          <w:hyperlink w:anchor="_Toc84321229" w:history="1">
            <w:r w:rsidRPr="00D76C7A">
              <w:rPr>
                <w:rStyle w:val="Hyperlink"/>
                <w:noProof/>
              </w:rPr>
              <w:t>2.1.2</w:t>
            </w:r>
            <w:r>
              <w:rPr>
                <w:rFonts w:asciiTheme="minorHAnsi" w:eastAsiaTheme="minorEastAsia" w:hAnsiTheme="minorHAnsi" w:cstheme="minorBidi"/>
                <w:noProof/>
                <w:szCs w:val="22"/>
                <w:lang w:eastAsia="en-GB"/>
              </w:rPr>
              <w:tab/>
            </w:r>
            <w:r w:rsidRPr="00D76C7A">
              <w:rPr>
                <w:rStyle w:val="Hyperlink"/>
                <w:noProof/>
              </w:rPr>
              <w:t>Caldicott Principles</w:t>
            </w:r>
            <w:r>
              <w:rPr>
                <w:noProof/>
                <w:webHidden/>
              </w:rPr>
              <w:tab/>
            </w:r>
            <w:r>
              <w:rPr>
                <w:noProof/>
                <w:webHidden/>
              </w:rPr>
              <w:fldChar w:fldCharType="begin"/>
            </w:r>
            <w:r>
              <w:rPr>
                <w:noProof/>
                <w:webHidden/>
              </w:rPr>
              <w:instrText xml:space="preserve"> PAGEREF _Toc84321229 \h </w:instrText>
            </w:r>
            <w:r>
              <w:rPr>
                <w:noProof/>
                <w:webHidden/>
              </w:rPr>
            </w:r>
            <w:r>
              <w:rPr>
                <w:noProof/>
                <w:webHidden/>
              </w:rPr>
              <w:fldChar w:fldCharType="separate"/>
            </w:r>
            <w:r>
              <w:rPr>
                <w:noProof/>
                <w:webHidden/>
              </w:rPr>
              <w:t>3</w:t>
            </w:r>
            <w:r>
              <w:rPr>
                <w:noProof/>
                <w:webHidden/>
              </w:rPr>
              <w:fldChar w:fldCharType="end"/>
            </w:r>
          </w:hyperlink>
        </w:p>
        <w:p w14:paraId="4E8D2FFE" w14:textId="79FBFD2B" w:rsidR="00B2533E" w:rsidRDefault="00B2533E">
          <w:pPr>
            <w:pStyle w:val="TOC3"/>
            <w:tabs>
              <w:tab w:val="left" w:pos="1320"/>
              <w:tab w:val="right" w:leader="dot" w:pos="9912"/>
            </w:tabs>
            <w:rPr>
              <w:rFonts w:asciiTheme="minorHAnsi" w:eastAsiaTheme="minorEastAsia" w:hAnsiTheme="minorHAnsi" w:cstheme="minorBidi"/>
              <w:noProof/>
              <w:szCs w:val="22"/>
              <w:lang w:eastAsia="en-GB"/>
            </w:rPr>
          </w:pPr>
          <w:hyperlink w:anchor="_Toc84321230" w:history="1">
            <w:r w:rsidRPr="00D76C7A">
              <w:rPr>
                <w:rStyle w:val="Hyperlink"/>
                <w:noProof/>
              </w:rPr>
              <w:t>2.1.3</w:t>
            </w:r>
            <w:r>
              <w:rPr>
                <w:rFonts w:asciiTheme="minorHAnsi" w:eastAsiaTheme="minorEastAsia" w:hAnsiTheme="minorHAnsi" w:cstheme="minorBidi"/>
                <w:noProof/>
                <w:szCs w:val="22"/>
                <w:lang w:eastAsia="en-GB"/>
              </w:rPr>
              <w:tab/>
            </w:r>
            <w:r w:rsidRPr="00D76C7A">
              <w:rPr>
                <w:rStyle w:val="Hyperlink"/>
                <w:noProof/>
              </w:rPr>
              <w:t>Data Protection Act / UK General Data Protection Regulation</w:t>
            </w:r>
            <w:r>
              <w:rPr>
                <w:noProof/>
                <w:webHidden/>
              </w:rPr>
              <w:tab/>
            </w:r>
            <w:r>
              <w:rPr>
                <w:noProof/>
                <w:webHidden/>
              </w:rPr>
              <w:fldChar w:fldCharType="begin"/>
            </w:r>
            <w:r>
              <w:rPr>
                <w:noProof/>
                <w:webHidden/>
              </w:rPr>
              <w:instrText xml:space="preserve"> PAGEREF _Toc84321230 \h </w:instrText>
            </w:r>
            <w:r>
              <w:rPr>
                <w:noProof/>
                <w:webHidden/>
              </w:rPr>
            </w:r>
            <w:r>
              <w:rPr>
                <w:noProof/>
                <w:webHidden/>
              </w:rPr>
              <w:fldChar w:fldCharType="separate"/>
            </w:r>
            <w:r>
              <w:rPr>
                <w:noProof/>
                <w:webHidden/>
              </w:rPr>
              <w:t>4</w:t>
            </w:r>
            <w:r>
              <w:rPr>
                <w:noProof/>
                <w:webHidden/>
              </w:rPr>
              <w:fldChar w:fldCharType="end"/>
            </w:r>
          </w:hyperlink>
        </w:p>
        <w:p w14:paraId="19770A91" w14:textId="63EC0A64" w:rsidR="00B2533E" w:rsidRDefault="00B2533E">
          <w:pPr>
            <w:pStyle w:val="TOC3"/>
            <w:tabs>
              <w:tab w:val="left" w:pos="1320"/>
              <w:tab w:val="right" w:leader="dot" w:pos="9912"/>
            </w:tabs>
            <w:rPr>
              <w:rFonts w:asciiTheme="minorHAnsi" w:eastAsiaTheme="minorEastAsia" w:hAnsiTheme="minorHAnsi" w:cstheme="minorBidi"/>
              <w:noProof/>
              <w:szCs w:val="22"/>
              <w:lang w:eastAsia="en-GB"/>
            </w:rPr>
          </w:pPr>
          <w:hyperlink w:anchor="_Toc84321231" w:history="1">
            <w:r w:rsidRPr="00D76C7A">
              <w:rPr>
                <w:rStyle w:val="Hyperlink"/>
                <w:noProof/>
              </w:rPr>
              <w:t>2.1.4</w:t>
            </w:r>
            <w:r>
              <w:rPr>
                <w:rFonts w:asciiTheme="minorHAnsi" w:eastAsiaTheme="minorEastAsia" w:hAnsiTheme="minorHAnsi" w:cstheme="minorBidi"/>
                <w:noProof/>
                <w:szCs w:val="22"/>
                <w:lang w:eastAsia="en-GB"/>
              </w:rPr>
              <w:tab/>
            </w:r>
            <w:r w:rsidRPr="00D76C7A">
              <w:rPr>
                <w:rStyle w:val="Hyperlink"/>
                <w:noProof/>
              </w:rPr>
              <w:t>Freedom of Information</w:t>
            </w:r>
            <w:r>
              <w:rPr>
                <w:noProof/>
                <w:webHidden/>
              </w:rPr>
              <w:tab/>
            </w:r>
            <w:r>
              <w:rPr>
                <w:noProof/>
                <w:webHidden/>
              </w:rPr>
              <w:fldChar w:fldCharType="begin"/>
            </w:r>
            <w:r>
              <w:rPr>
                <w:noProof/>
                <w:webHidden/>
              </w:rPr>
              <w:instrText xml:space="preserve"> PAGEREF _Toc84321231 \h </w:instrText>
            </w:r>
            <w:r>
              <w:rPr>
                <w:noProof/>
                <w:webHidden/>
              </w:rPr>
            </w:r>
            <w:r>
              <w:rPr>
                <w:noProof/>
                <w:webHidden/>
              </w:rPr>
              <w:fldChar w:fldCharType="separate"/>
            </w:r>
            <w:r>
              <w:rPr>
                <w:noProof/>
                <w:webHidden/>
              </w:rPr>
              <w:t>4</w:t>
            </w:r>
            <w:r>
              <w:rPr>
                <w:noProof/>
                <w:webHidden/>
              </w:rPr>
              <w:fldChar w:fldCharType="end"/>
            </w:r>
          </w:hyperlink>
        </w:p>
        <w:p w14:paraId="06DD0C09" w14:textId="000C469F" w:rsidR="00B2533E" w:rsidRDefault="00B2533E">
          <w:pPr>
            <w:pStyle w:val="TOC3"/>
            <w:tabs>
              <w:tab w:val="left" w:pos="1320"/>
              <w:tab w:val="right" w:leader="dot" w:pos="9912"/>
            </w:tabs>
            <w:rPr>
              <w:rFonts w:asciiTheme="minorHAnsi" w:eastAsiaTheme="minorEastAsia" w:hAnsiTheme="minorHAnsi" w:cstheme="minorBidi"/>
              <w:noProof/>
              <w:szCs w:val="22"/>
              <w:lang w:eastAsia="en-GB"/>
            </w:rPr>
          </w:pPr>
          <w:hyperlink w:anchor="_Toc84321232" w:history="1">
            <w:r w:rsidRPr="00D76C7A">
              <w:rPr>
                <w:rStyle w:val="Hyperlink"/>
                <w:noProof/>
              </w:rPr>
              <w:t>2.1.5</w:t>
            </w:r>
            <w:r>
              <w:rPr>
                <w:rFonts w:asciiTheme="minorHAnsi" w:eastAsiaTheme="minorEastAsia" w:hAnsiTheme="minorHAnsi" w:cstheme="minorBidi"/>
                <w:noProof/>
                <w:szCs w:val="22"/>
                <w:lang w:eastAsia="en-GB"/>
              </w:rPr>
              <w:tab/>
            </w:r>
            <w:r w:rsidRPr="00D76C7A">
              <w:rPr>
                <w:rStyle w:val="Hyperlink"/>
                <w:noProof/>
              </w:rPr>
              <w:t>Information Security</w:t>
            </w:r>
            <w:r>
              <w:rPr>
                <w:noProof/>
                <w:webHidden/>
              </w:rPr>
              <w:tab/>
            </w:r>
            <w:r>
              <w:rPr>
                <w:noProof/>
                <w:webHidden/>
              </w:rPr>
              <w:fldChar w:fldCharType="begin"/>
            </w:r>
            <w:r>
              <w:rPr>
                <w:noProof/>
                <w:webHidden/>
              </w:rPr>
              <w:instrText xml:space="preserve"> PAGEREF _Toc84321232 \h </w:instrText>
            </w:r>
            <w:r>
              <w:rPr>
                <w:noProof/>
                <w:webHidden/>
              </w:rPr>
            </w:r>
            <w:r>
              <w:rPr>
                <w:noProof/>
                <w:webHidden/>
              </w:rPr>
              <w:fldChar w:fldCharType="separate"/>
            </w:r>
            <w:r>
              <w:rPr>
                <w:noProof/>
                <w:webHidden/>
              </w:rPr>
              <w:t>4</w:t>
            </w:r>
            <w:r>
              <w:rPr>
                <w:noProof/>
                <w:webHidden/>
              </w:rPr>
              <w:fldChar w:fldCharType="end"/>
            </w:r>
          </w:hyperlink>
        </w:p>
        <w:p w14:paraId="692360F3" w14:textId="053284AF" w:rsidR="00B2533E" w:rsidRDefault="00B2533E">
          <w:pPr>
            <w:pStyle w:val="TOC3"/>
            <w:tabs>
              <w:tab w:val="left" w:pos="1320"/>
              <w:tab w:val="right" w:leader="dot" w:pos="9912"/>
            </w:tabs>
            <w:rPr>
              <w:rFonts w:asciiTheme="minorHAnsi" w:eastAsiaTheme="minorEastAsia" w:hAnsiTheme="minorHAnsi" w:cstheme="minorBidi"/>
              <w:noProof/>
              <w:szCs w:val="22"/>
              <w:lang w:eastAsia="en-GB"/>
            </w:rPr>
          </w:pPr>
          <w:hyperlink w:anchor="_Toc84321233" w:history="1">
            <w:r w:rsidRPr="00D76C7A">
              <w:rPr>
                <w:rStyle w:val="Hyperlink"/>
                <w:noProof/>
              </w:rPr>
              <w:t>2.1.6</w:t>
            </w:r>
            <w:r>
              <w:rPr>
                <w:rFonts w:asciiTheme="minorHAnsi" w:eastAsiaTheme="minorEastAsia" w:hAnsiTheme="minorHAnsi" w:cstheme="minorBidi"/>
                <w:noProof/>
                <w:szCs w:val="22"/>
                <w:lang w:eastAsia="en-GB"/>
              </w:rPr>
              <w:tab/>
            </w:r>
            <w:r w:rsidRPr="00D76C7A">
              <w:rPr>
                <w:rStyle w:val="Hyperlink"/>
                <w:noProof/>
              </w:rPr>
              <w:t>Records Management</w:t>
            </w:r>
            <w:r>
              <w:rPr>
                <w:noProof/>
                <w:webHidden/>
              </w:rPr>
              <w:tab/>
            </w:r>
            <w:r>
              <w:rPr>
                <w:noProof/>
                <w:webHidden/>
              </w:rPr>
              <w:fldChar w:fldCharType="begin"/>
            </w:r>
            <w:r>
              <w:rPr>
                <w:noProof/>
                <w:webHidden/>
              </w:rPr>
              <w:instrText xml:space="preserve"> PAGEREF _Toc84321233 \h </w:instrText>
            </w:r>
            <w:r>
              <w:rPr>
                <w:noProof/>
                <w:webHidden/>
              </w:rPr>
            </w:r>
            <w:r>
              <w:rPr>
                <w:noProof/>
                <w:webHidden/>
              </w:rPr>
              <w:fldChar w:fldCharType="separate"/>
            </w:r>
            <w:r>
              <w:rPr>
                <w:noProof/>
                <w:webHidden/>
              </w:rPr>
              <w:t>4</w:t>
            </w:r>
            <w:r>
              <w:rPr>
                <w:noProof/>
                <w:webHidden/>
              </w:rPr>
              <w:fldChar w:fldCharType="end"/>
            </w:r>
          </w:hyperlink>
        </w:p>
        <w:p w14:paraId="0D4B4683" w14:textId="168D662B" w:rsidR="00B2533E" w:rsidRDefault="00B2533E">
          <w:pPr>
            <w:pStyle w:val="TOC2"/>
            <w:rPr>
              <w:rFonts w:asciiTheme="minorHAnsi" w:eastAsiaTheme="minorEastAsia" w:hAnsiTheme="minorHAnsi" w:cstheme="minorBidi"/>
              <w:noProof/>
              <w:szCs w:val="22"/>
              <w:lang w:eastAsia="en-GB"/>
            </w:rPr>
          </w:pPr>
          <w:hyperlink w:anchor="_Toc84321234" w:history="1">
            <w:r w:rsidRPr="00D76C7A">
              <w:rPr>
                <w:rStyle w:val="Hyperlink"/>
                <w:noProof/>
              </w:rPr>
              <w:t>2.2</w:t>
            </w:r>
            <w:r>
              <w:rPr>
                <w:rFonts w:asciiTheme="minorHAnsi" w:eastAsiaTheme="minorEastAsia" w:hAnsiTheme="minorHAnsi" w:cstheme="minorBidi"/>
                <w:noProof/>
                <w:szCs w:val="22"/>
                <w:lang w:eastAsia="en-GB"/>
              </w:rPr>
              <w:tab/>
            </w:r>
            <w:r w:rsidRPr="00D76C7A">
              <w:rPr>
                <w:rStyle w:val="Hyperlink"/>
                <w:noProof/>
              </w:rPr>
              <w:t>Compliance and Assurance Work Programmes</w:t>
            </w:r>
            <w:r>
              <w:rPr>
                <w:noProof/>
                <w:webHidden/>
              </w:rPr>
              <w:tab/>
            </w:r>
            <w:r>
              <w:rPr>
                <w:noProof/>
                <w:webHidden/>
              </w:rPr>
              <w:fldChar w:fldCharType="begin"/>
            </w:r>
            <w:r>
              <w:rPr>
                <w:noProof/>
                <w:webHidden/>
              </w:rPr>
              <w:instrText xml:space="preserve"> PAGEREF _Toc84321234 \h </w:instrText>
            </w:r>
            <w:r>
              <w:rPr>
                <w:noProof/>
                <w:webHidden/>
              </w:rPr>
            </w:r>
            <w:r>
              <w:rPr>
                <w:noProof/>
                <w:webHidden/>
              </w:rPr>
              <w:fldChar w:fldCharType="separate"/>
            </w:r>
            <w:r>
              <w:rPr>
                <w:noProof/>
                <w:webHidden/>
              </w:rPr>
              <w:t>5</w:t>
            </w:r>
            <w:r>
              <w:rPr>
                <w:noProof/>
                <w:webHidden/>
              </w:rPr>
              <w:fldChar w:fldCharType="end"/>
            </w:r>
          </w:hyperlink>
        </w:p>
        <w:p w14:paraId="1BDCC936" w14:textId="240B459D" w:rsidR="00B2533E" w:rsidRDefault="00B2533E">
          <w:pPr>
            <w:pStyle w:val="TOC2"/>
            <w:rPr>
              <w:rFonts w:asciiTheme="minorHAnsi" w:eastAsiaTheme="minorEastAsia" w:hAnsiTheme="minorHAnsi" w:cstheme="minorBidi"/>
              <w:noProof/>
              <w:szCs w:val="22"/>
              <w:lang w:eastAsia="en-GB"/>
            </w:rPr>
          </w:pPr>
          <w:hyperlink w:anchor="_Toc84321235" w:history="1">
            <w:r w:rsidRPr="00D76C7A">
              <w:rPr>
                <w:rStyle w:val="Hyperlink"/>
                <w:rFonts w:cs="Arial"/>
                <w:noProof/>
              </w:rPr>
              <w:t>2.3</w:t>
            </w:r>
            <w:r>
              <w:rPr>
                <w:rFonts w:asciiTheme="minorHAnsi" w:eastAsiaTheme="minorEastAsia" w:hAnsiTheme="minorHAnsi" w:cstheme="minorBidi"/>
                <w:noProof/>
                <w:szCs w:val="22"/>
                <w:lang w:eastAsia="en-GB"/>
              </w:rPr>
              <w:tab/>
            </w:r>
            <w:r w:rsidRPr="00D76C7A">
              <w:rPr>
                <w:rStyle w:val="Hyperlink"/>
                <w:rFonts w:cs="Arial"/>
                <w:noProof/>
              </w:rPr>
              <w:t>Employee Training</w:t>
            </w:r>
            <w:r>
              <w:rPr>
                <w:noProof/>
                <w:webHidden/>
              </w:rPr>
              <w:tab/>
            </w:r>
            <w:r>
              <w:rPr>
                <w:noProof/>
                <w:webHidden/>
              </w:rPr>
              <w:fldChar w:fldCharType="begin"/>
            </w:r>
            <w:r>
              <w:rPr>
                <w:noProof/>
                <w:webHidden/>
              </w:rPr>
              <w:instrText xml:space="preserve"> PAGEREF _Toc84321235 \h </w:instrText>
            </w:r>
            <w:r>
              <w:rPr>
                <w:noProof/>
                <w:webHidden/>
              </w:rPr>
            </w:r>
            <w:r>
              <w:rPr>
                <w:noProof/>
                <w:webHidden/>
              </w:rPr>
              <w:fldChar w:fldCharType="separate"/>
            </w:r>
            <w:r>
              <w:rPr>
                <w:noProof/>
                <w:webHidden/>
              </w:rPr>
              <w:t>5</w:t>
            </w:r>
            <w:r>
              <w:rPr>
                <w:noProof/>
                <w:webHidden/>
              </w:rPr>
              <w:fldChar w:fldCharType="end"/>
            </w:r>
          </w:hyperlink>
        </w:p>
        <w:p w14:paraId="001FEA3F" w14:textId="6586593A" w:rsidR="00B2533E" w:rsidRDefault="00B2533E">
          <w:pPr>
            <w:pStyle w:val="TOC2"/>
            <w:rPr>
              <w:rFonts w:asciiTheme="minorHAnsi" w:eastAsiaTheme="minorEastAsia" w:hAnsiTheme="minorHAnsi" w:cstheme="minorBidi"/>
              <w:noProof/>
              <w:szCs w:val="22"/>
              <w:lang w:eastAsia="en-GB"/>
            </w:rPr>
          </w:pPr>
          <w:hyperlink w:anchor="_Toc84321236" w:history="1">
            <w:r w:rsidRPr="00D76C7A">
              <w:rPr>
                <w:rStyle w:val="Hyperlink"/>
                <w:rFonts w:cs="Arial"/>
                <w:noProof/>
              </w:rPr>
              <w:t xml:space="preserve">2.4 </w:t>
            </w:r>
            <w:r>
              <w:rPr>
                <w:rFonts w:asciiTheme="minorHAnsi" w:eastAsiaTheme="minorEastAsia" w:hAnsiTheme="minorHAnsi" w:cstheme="minorBidi"/>
                <w:noProof/>
                <w:szCs w:val="22"/>
                <w:lang w:eastAsia="en-GB"/>
              </w:rPr>
              <w:tab/>
            </w:r>
            <w:r w:rsidRPr="00D76C7A">
              <w:rPr>
                <w:rStyle w:val="Hyperlink"/>
                <w:rFonts w:cs="Arial"/>
                <w:noProof/>
              </w:rPr>
              <w:t>Pseudonymisation</w:t>
            </w:r>
            <w:r>
              <w:rPr>
                <w:noProof/>
                <w:webHidden/>
              </w:rPr>
              <w:tab/>
            </w:r>
            <w:r>
              <w:rPr>
                <w:noProof/>
                <w:webHidden/>
              </w:rPr>
              <w:fldChar w:fldCharType="begin"/>
            </w:r>
            <w:r>
              <w:rPr>
                <w:noProof/>
                <w:webHidden/>
              </w:rPr>
              <w:instrText xml:space="preserve"> PAGEREF _Toc84321236 \h </w:instrText>
            </w:r>
            <w:r>
              <w:rPr>
                <w:noProof/>
                <w:webHidden/>
              </w:rPr>
            </w:r>
            <w:r>
              <w:rPr>
                <w:noProof/>
                <w:webHidden/>
              </w:rPr>
              <w:fldChar w:fldCharType="separate"/>
            </w:r>
            <w:r>
              <w:rPr>
                <w:noProof/>
                <w:webHidden/>
              </w:rPr>
              <w:t>5</w:t>
            </w:r>
            <w:r>
              <w:rPr>
                <w:noProof/>
                <w:webHidden/>
              </w:rPr>
              <w:fldChar w:fldCharType="end"/>
            </w:r>
          </w:hyperlink>
        </w:p>
        <w:p w14:paraId="636A2D41" w14:textId="65CB0236" w:rsidR="00B2533E" w:rsidRDefault="00B2533E">
          <w:pPr>
            <w:pStyle w:val="TOC2"/>
            <w:rPr>
              <w:rFonts w:asciiTheme="minorHAnsi" w:eastAsiaTheme="minorEastAsia" w:hAnsiTheme="minorHAnsi" w:cstheme="minorBidi"/>
              <w:noProof/>
              <w:szCs w:val="22"/>
              <w:lang w:eastAsia="en-GB"/>
            </w:rPr>
          </w:pPr>
          <w:hyperlink w:anchor="_Toc84321237" w:history="1">
            <w:r w:rsidRPr="00D76C7A">
              <w:rPr>
                <w:rStyle w:val="Hyperlink"/>
                <w:rFonts w:cs="Arial"/>
                <w:noProof/>
              </w:rPr>
              <w:t>2.5</w:t>
            </w:r>
            <w:r>
              <w:rPr>
                <w:rFonts w:asciiTheme="minorHAnsi" w:eastAsiaTheme="minorEastAsia" w:hAnsiTheme="minorHAnsi" w:cstheme="minorBidi"/>
                <w:noProof/>
                <w:szCs w:val="22"/>
                <w:lang w:eastAsia="en-GB"/>
              </w:rPr>
              <w:tab/>
            </w:r>
            <w:r w:rsidRPr="00D76C7A">
              <w:rPr>
                <w:rStyle w:val="Hyperlink"/>
                <w:rFonts w:cs="Arial"/>
                <w:noProof/>
              </w:rPr>
              <w:t>National Data Opt-Out</w:t>
            </w:r>
            <w:r>
              <w:rPr>
                <w:noProof/>
                <w:webHidden/>
              </w:rPr>
              <w:tab/>
            </w:r>
            <w:r>
              <w:rPr>
                <w:noProof/>
                <w:webHidden/>
              </w:rPr>
              <w:fldChar w:fldCharType="begin"/>
            </w:r>
            <w:r>
              <w:rPr>
                <w:noProof/>
                <w:webHidden/>
              </w:rPr>
              <w:instrText xml:space="preserve"> PAGEREF _Toc84321237 \h </w:instrText>
            </w:r>
            <w:r>
              <w:rPr>
                <w:noProof/>
                <w:webHidden/>
              </w:rPr>
            </w:r>
            <w:r>
              <w:rPr>
                <w:noProof/>
                <w:webHidden/>
              </w:rPr>
              <w:fldChar w:fldCharType="separate"/>
            </w:r>
            <w:r>
              <w:rPr>
                <w:noProof/>
                <w:webHidden/>
              </w:rPr>
              <w:t>5</w:t>
            </w:r>
            <w:r>
              <w:rPr>
                <w:noProof/>
                <w:webHidden/>
              </w:rPr>
              <w:fldChar w:fldCharType="end"/>
            </w:r>
          </w:hyperlink>
        </w:p>
        <w:p w14:paraId="7B57038F" w14:textId="7A5A4DBD" w:rsidR="00B2533E" w:rsidRDefault="00B2533E">
          <w:pPr>
            <w:pStyle w:val="TOC2"/>
            <w:rPr>
              <w:rFonts w:asciiTheme="minorHAnsi" w:eastAsiaTheme="minorEastAsia" w:hAnsiTheme="minorHAnsi" w:cstheme="minorBidi"/>
              <w:noProof/>
              <w:szCs w:val="22"/>
              <w:lang w:eastAsia="en-GB"/>
            </w:rPr>
          </w:pPr>
          <w:hyperlink w:anchor="_Toc84321238" w:history="1">
            <w:r w:rsidRPr="00D76C7A">
              <w:rPr>
                <w:rStyle w:val="Hyperlink"/>
                <w:rFonts w:cs="Arial"/>
                <w:noProof/>
              </w:rPr>
              <w:t>2.6</w:t>
            </w:r>
            <w:r>
              <w:rPr>
                <w:rFonts w:asciiTheme="minorHAnsi" w:eastAsiaTheme="minorEastAsia" w:hAnsiTheme="minorHAnsi" w:cstheme="minorBidi"/>
                <w:noProof/>
                <w:szCs w:val="22"/>
                <w:lang w:eastAsia="en-GB"/>
              </w:rPr>
              <w:tab/>
            </w:r>
            <w:r w:rsidRPr="00D76C7A">
              <w:rPr>
                <w:rStyle w:val="Hyperlink"/>
                <w:rFonts w:cs="Arial"/>
                <w:noProof/>
              </w:rPr>
              <w:t>Incident Reporting</w:t>
            </w:r>
            <w:r>
              <w:rPr>
                <w:noProof/>
                <w:webHidden/>
              </w:rPr>
              <w:tab/>
            </w:r>
            <w:r>
              <w:rPr>
                <w:noProof/>
                <w:webHidden/>
              </w:rPr>
              <w:fldChar w:fldCharType="begin"/>
            </w:r>
            <w:r>
              <w:rPr>
                <w:noProof/>
                <w:webHidden/>
              </w:rPr>
              <w:instrText xml:space="preserve"> PAGEREF _Toc84321238 \h </w:instrText>
            </w:r>
            <w:r>
              <w:rPr>
                <w:noProof/>
                <w:webHidden/>
              </w:rPr>
            </w:r>
            <w:r>
              <w:rPr>
                <w:noProof/>
                <w:webHidden/>
              </w:rPr>
              <w:fldChar w:fldCharType="separate"/>
            </w:r>
            <w:r>
              <w:rPr>
                <w:noProof/>
                <w:webHidden/>
              </w:rPr>
              <w:t>6</w:t>
            </w:r>
            <w:r>
              <w:rPr>
                <w:noProof/>
                <w:webHidden/>
              </w:rPr>
              <w:fldChar w:fldCharType="end"/>
            </w:r>
          </w:hyperlink>
        </w:p>
        <w:p w14:paraId="54307138" w14:textId="04B98E89" w:rsidR="00B2533E" w:rsidRDefault="00B2533E">
          <w:pPr>
            <w:pStyle w:val="TOC1"/>
            <w:rPr>
              <w:rFonts w:asciiTheme="minorHAnsi" w:eastAsiaTheme="minorEastAsia" w:hAnsiTheme="minorHAnsi" w:cstheme="minorBidi"/>
              <w:noProof/>
              <w:szCs w:val="22"/>
              <w:lang w:eastAsia="en-GB"/>
            </w:rPr>
          </w:pPr>
          <w:hyperlink w:anchor="_Toc84321239" w:history="1">
            <w:r w:rsidRPr="00D76C7A">
              <w:rPr>
                <w:rStyle w:val="Hyperlink"/>
                <w:noProof/>
              </w:rPr>
              <w:t xml:space="preserve">3 </w:t>
            </w:r>
            <w:r>
              <w:rPr>
                <w:rFonts w:asciiTheme="minorHAnsi" w:eastAsiaTheme="minorEastAsia" w:hAnsiTheme="minorHAnsi" w:cstheme="minorBidi"/>
                <w:noProof/>
                <w:szCs w:val="22"/>
                <w:lang w:eastAsia="en-GB"/>
              </w:rPr>
              <w:tab/>
            </w:r>
            <w:r w:rsidRPr="00D76C7A">
              <w:rPr>
                <w:rStyle w:val="Hyperlink"/>
                <w:noProof/>
              </w:rPr>
              <w:t>Monitoring Compliance and Effectiveness of Implementation</w:t>
            </w:r>
            <w:r>
              <w:rPr>
                <w:noProof/>
                <w:webHidden/>
              </w:rPr>
              <w:tab/>
            </w:r>
            <w:r>
              <w:rPr>
                <w:noProof/>
                <w:webHidden/>
              </w:rPr>
              <w:fldChar w:fldCharType="begin"/>
            </w:r>
            <w:r>
              <w:rPr>
                <w:noProof/>
                <w:webHidden/>
              </w:rPr>
              <w:instrText xml:space="preserve"> PAGEREF _Toc84321239 \h </w:instrText>
            </w:r>
            <w:r>
              <w:rPr>
                <w:noProof/>
                <w:webHidden/>
              </w:rPr>
            </w:r>
            <w:r>
              <w:rPr>
                <w:noProof/>
                <w:webHidden/>
              </w:rPr>
              <w:fldChar w:fldCharType="separate"/>
            </w:r>
            <w:r>
              <w:rPr>
                <w:noProof/>
                <w:webHidden/>
              </w:rPr>
              <w:t>7</w:t>
            </w:r>
            <w:r>
              <w:rPr>
                <w:noProof/>
                <w:webHidden/>
              </w:rPr>
              <w:fldChar w:fldCharType="end"/>
            </w:r>
          </w:hyperlink>
        </w:p>
        <w:p w14:paraId="61745D50" w14:textId="510FCDB7" w:rsidR="00B2533E" w:rsidRDefault="00B2533E">
          <w:pPr>
            <w:pStyle w:val="TOC1"/>
            <w:rPr>
              <w:rFonts w:asciiTheme="minorHAnsi" w:eastAsiaTheme="minorEastAsia" w:hAnsiTheme="minorHAnsi" w:cstheme="minorBidi"/>
              <w:noProof/>
              <w:szCs w:val="22"/>
              <w:lang w:eastAsia="en-GB"/>
            </w:rPr>
          </w:pPr>
          <w:hyperlink w:anchor="_Toc84321240" w:history="1">
            <w:r w:rsidRPr="00D76C7A">
              <w:rPr>
                <w:rStyle w:val="Hyperlink"/>
                <w:noProof/>
              </w:rPr>
              <w:t>4</w:t>
            </w:r>
            <w:r>
              <w:rPr>
                <w:rFonts w:asciiTheme="minorHAnsi" w:eastAsiaTheme="minorEastAsia" w:hAnsiTheme="minorHAnsi" w:cstheme="minorBidi"/>
                <w:noProof/>
                <w:szCs w:val="22"/>
                <w:lang w:eastAsia="en-GB"/>
              </w:rPr>
              <w:tab/>
            </w:r>
            <w:r w:rsidRPr="00D76C7A">
              <w:rPr>
                <w:rStyle w:val="Hyperlink"/>
                <w:noProof/>
              </w:rPr>
              <w:t>Duties and Responsibilities of Individuals and Groups</w:t>
            </w:r>
            <w:r>
              <w:rPr>
                <w:noProof/>
                <w:webHidden/>
              </w:rPr>
              <w:tab/>
            </w:r>
            <w:r>
              <w:rPr>
                <w:noProof/>
                <w:webHidden/>
              </w:rPr>
              <w:fldChar w:fldCharType="begin"/>
            </w:r>
            <w:r>
              <w:rPr>
                <w:noProof/>
                <w:webHidden/>
              </w:rPr>
              <w:instrText xml:space="preserve"> PAGEREF _Toc84321240 \h </w:instrText>
            </w:r>
            <w:r>
              <w:rPr>
                <w:noProof/>
                <w:webHidden/>
              </w:rPr>
            </w:r>
            <w:r>
              <w:rPr>
                <w:noProof/>
                <w:webHidden/>
              </w:rPr>
              <w:fldChar w:fldCharType="separate"/>
            </w:r>
            <w:r>
              <w:rPr>
                <w:noProof/>
                <w:webHidden/>
              </w:rPr>
              <w:t>7</w:t>
            </w:r>
            <w:r>
              <w:rPr>
                <w:noProof/>
                <w:webHidden/>
              </w:rPr>
              <w:fldChar w:fldCharType="end"/>
            </w:r>
          </w:hyperlink>
        </w:p>
        <w:p w14:paraId="482CBC73" w14:textId="6025E458" w:rsidR="00B2533E" w:rsidRDefault="00B2533E">
          <w:pPr>
            <w:pStyle w:val="TOC2"/>
            <w:rPr>
              <w:rFonts w:asciiTheme="minorHAnsi" w:eastAsiaTheme="minorEastAsia" w:hAnsiTheme="minorHAnsi" w:cstheme="minorBidi"/>
              <w:noProof/>
              <w:szCs w:val="22"/>
              <w:lang w:eastAsia="en-GB"/>
            </w:rPr>
          </w:pPr>
          <w:hyperlink w:anchor="_Toc84321241" w:history="1">
            <w:r w:rsidRPr="00D76C7A">
              <w:rPr>
                <w:rStyle w:val="Hyperlink"/>
                <w:noProof/>
              </w:rPr>
              <w:t>4.1</w:t>
            </w:r>
            <w:r>
              <w:rPr>
                <w:rFonts w:asciiTheme="minorHAnsi" w:eastAsiaTheme="minorEastAsia" w:hAnsiTheme="minorHAnsi" w:cstheme="minorBidi"/>
                <w:noProof/>
                <w:szCs w:val="22"/>
                <w:lang w:eastAsia="en-GB"/>
              </w:rPr>
              <w:tab/>
            </w:r>
            <w:r w:rsidRPr="00D76C7A">
              <w:rPr>
                <w:rStyle w:val="Hyperlink"/>
                <w:noProof/>
              </w:rPr>
              <w:t>Chief Executive</w:t>
            </w:r>
            <w:r>
              <w:rPr>
                <w:noProof/>
                <w:webHidden/>
              </w:rPr>
              <w:tab/>
            </w:r>
            <w:r>
              <w:rPr>
                <w:noProof/>
                <w:webHidden/>
              </w:rPr>
              <w:fldChar w:fldCharType="begin"/>
            </w:r>
            <w:r>
              <w:rPr>
                <w:noProof/>
                <w:webHidden/>
              </w:rPr>
              <w:instrText xml:space="preserve"> PAGEREF _Toc84321241 \h </w:instrText>
            </w:r>
            <w:r>
              <w:rPr>
                <w:noProof/>
                <w:webHidden/>
              </w:rPr>
            </w:r>
            <w:r>
              <w:rPr>
                <w:noProof/>
                <w:webHidden/>
              </w:rPr>
              <w:fldChar w:fldCharType="separate"/>
            </w:r>
            <w:r>
              <w:rPr>
                <w:noProof/>
                <w:webHidden/>
              </w:rPr>
              <w:t>7</w:t>
            </w:r>
            <w:r>
              <w:rPr>
                <w:noProof/>
                <w:webHidden/>
              </w:rPr>
              <w:fldChar w:fldCharType="end"/>
            </w:r>
          </w:hyperlink>
        </w:p>
        <w:p w14:paraId="77466150" w14:textId="66879980" w:rsidR="00B2533E" w:rsidRDefault="00B2533E">
          <w:pPr>
            <w:pStyle w:val="TOC2"/>
            <w:rPr>
              <w:rFonts w:asciiTheme="minorHAnsi" w:eastAsiaTheme="minorEastAsia" w:hAnsiTheme="minorHAnsi" w:cstheme="minorBidi"/>
              <w:noProof/>
              <w:szCs w:val="22"/>
              <w:lang w:eastAsia="en-GB"/>
            </w:rPr>
          </w:pPr>
          <w:hyperlink w:anchor="_Toc84321242" w:history="1">
            <w:r w:rsidRPr="00D76C7A">
              <w:rPr>
                <w:rStyle w:val="Hyperlink"/>
                <w:noProof/>
              </w:rPr>
              <w:t>4.2</w:t>
            </w:r>
            <w:r>
              <w:rPr>
                <w:rFonts w:asciiTheme="minorHAnsi" w:eastAsiaTheme="minorEastAsia" w:hAnsiTheme="minorHAnsi" w:cstheme="minorBidi"/>
                <w:noProof/>
                <w:szCs w:val="22"/>
                <w:lang w:eastAsia="en-GB"/>
              </w:rPr>
              <w:tab/>
            </w:r>
            <w:r w:rsidRPr="00D76C7A">
              <w:rPr>
                <w:rStyle w:val="Hyperlink"/>
                <w:noProof/>
              </w:rPr>
              <w:t>Ward Managers, Matrons and Managers for Non Clinical Services</w:t>
            </w:r>
            <w:r>
              <w:rPr>
                <w:noProof/>
                <w:webHidden/>
              </w:rPr>
              <w:tab/>
            </w:r>
            <w:r>
              <w:rPr>
                <w:noProof/>
                <w:webHidden/>
              </w:rPr>
              <w:fldChar w:fldCharType="begin"/>
            </w:r>
            <w:r>
              <w:rPr>
                <w:noProof/>
                <w:webHidden/>
              </w:rPr>
              <w:instrText xml:space="preserve"> PAGEREF _Toc84321242 \h </w:instrText>
            </w:r>
            <w:r>
              <w:rPr>
                <w:noProof/>
                <w:webHidden/>
              </w:rPr>
            </w:r>
            <w:r>
              <w:rPr>
                <w:noProof/>
                <w:webHidden/>
              </w:rPr>
              <w:fldChar w:fldCharType="separate"/>
            </w:r>
            <w:r>
              <w:rPr>
                <w:noProof/>
                <w:webHidden/>
              </w:rPr>
              <w:t>7</w:t>
            </w:r>
            <w:r>
              <w:rPr>
                <w:noProof/>
                <w:webHidden/>
              </w:rPr>
              <w:fldChar w:fldCharType="end"/>
            </w:r>
          </w:hyperlink>
        </w:p>
        <w:p w14:paraId="62103C96" w14:textId="6E8663B9" w:rsidR="00B2533E" w:rsidRDefault="00B2533E">
          <w:pPr>
            <w:pStyle w:val="TOC2"/>
            <w:rPr>
              <w:rFonts w:asciiTheme="minorHAnsi" w:eastAsiaTheme="minorEastAsia" w:hAnsiTheme="minorHAnsi" w:cstheme="minorBidi"/>
              <w:noProof/>
              <w:szCs w:val="22"/>
              <w:lang w:eastAsia="en-GB"/>
            </w:rPr>
          </w:pPr>
          <w:hyperlink w:anchor="_Toc84321243" w:history="1">
            <w:r w:rsidRPr="00D76C7A">
              <w:rPr>
                <w:rStyle w:val="Hyperlink"/>
                <w:noProof/>
              </w:rPr>
              <w:t>4.3</w:t>
            </w:r>
            <w:r>
              <w:rPr>
                <w:rFonts w:asciiTheme="minorHAnsi" w:eastAsiaTheme="minorEastAsia" w:hAnsiTheme="minorHAnsi" w:cstheme="minorBidi"/>
                <w:noProof/>
                <w:szCs w:val="22"/>
                <w:lang w:eastAsia="en-GB"/>
              </w:rPr>
              <w:tab/>
            </w:r>
            <w:r w:rsidRPr="00D76C7A">
              <w:rPr>
                <w:rStyle w:val="Hyperlink"/>
                <w:noProof/>
              </w:rPr>
              <w:t>Document Author and Document Implementation Lead</w:t>
            </w:r>
            <w:r>
              <w:rPr>
                <w:noProof/>
                <w:webHidden/>
              </w:rPr>
              <w:tab/>
            </w:r>
            <w:r>
              <w:rPr>
                <w:noProof/>
                <w:webHidden/>
              </w:rPr>
              <w:fldChar w:fldCharType="begin"/>
            </w:r>
            <w:r>
              <w:rPr>
                <w:noProof/>
                <w:webHidden/>
              </w:rPr>
              <w:instrText xml:space="preserve"> PAGEREF _Toc84321243 \h </w:instrText>
            </w:r>
            <w:r>
              <w:rPr>
                <w:noProof/>
                <w:webHidden/>
              </w:rPr>
            </w:r>
            <w:r>
              <w:rPr>
                <w:noProof/>
                <w:webHidden/>
              </w:rPr>
              <w:fldChar w:fldCharType="separate"/>
            </w:r>
            <w:r>
              <w:rPr>
                <w:noProof/>
                <w:webHidden/>
              </w:rPr>
              <w:t>7</w:t>
            </w:r>
            <w:r>
              <w:rPr>
                <w:noProof/>
                <w:webHidden/>
              </w:rPr>
              <w:fldChar w:fldCharType="end"/>
            </w:r>
          </w:hyperlink>
        </w:p>
        <w:p w14:paraId="23F13085" w14:textId="2E520F42" w:rsidR="00B2533E" w:rsidRDefault="00B2533E">
          <w:pPr>
            <w:pStyle w:val="TOC2"/>
            <w:rPr>
              <w:rFonts w:asciiTheme="minorHAnsi" w:eastAsiaTheme="minorEastAsia" w:hAnsiTheme="minorHAnsi" w:cstheme="minorBidi"/>
              <w:noProof/>
              <w:szCs w:val="22"/>
              <w:lang w:eastAsia="en-GB"/>
            </w:rPr>
          </w:pPr>
          <w:hyperlink w:anchor="_Toc84321244" w:history="1">
            <w:r w:rsidRPr="00D76C7A">
              <w:rPr>
                <w:rStyle w:val="Hyperlink"/>
                <w:noProof/>
              </w:rPr>
              <w:t>4.4</w:t>
            </w:r>
            <w:r>
              <w:rPr>
                <w:rFonts w:asciiTheme="minorHAnsi" w:eastAsiaTheme="minorEastAsia" w:hAnsiTheme="minorHAnsi" w:cstheme="minorBidi"/>
                <w:noProof/>
                <w:szCs w:val="22"/>
                <w:lang w:eastAsia="en-GB"/>
              </w:rPr>
              <w:tab/>
            </w:r>
            <w:r w:rsidRPr="00D76C7A">
              <w:rPr>
                <w:rStyle w:val="Hyperlink"/>
                <w:noProof/>
              </w:rPr>
              <w:t>All Employees</w:t>
            </w:r>
            <w:r>
              <w:rPr>
                <w:noProof/>
                <w:webHidden/>
              </w:rPr>
              <w:tab/>
            </w:r>
            <w:r>
              <w:rPr>
                <w:noProof/>
                <w:webHidden/>
              </w:rPr>
              <w:fldChar w:fldCharType="begin"/>
            </w:r>
            <w:r>
              <w:rPr>
                <w:noProof/>
                <w:webHidden/>
              </w:rPr>
              <w:instrText xml:space="preserve"> PAGEREF _Toc84321244 \h </w:instrText>
            </w:r>
            <w:r>
              <w:rPr>
                <w:noProof/>
                <w:webHidden/>
              </w:rPr>
            </w:r>
            <w:r>
              <w:rPr>
                <w:noProof/>
                <w:webHidden/>
              </w:rPr>
              <w:fldChar w:fldCharType="separate"/>
            </w:r>
            <w:r>
              <w:rPr>
                <w:noProof/>
                <w:webHidden/>
              </w:rPr>
              <w:t>8</w:t>
            </w:r>
            <w:r>
              <w:rPr>
                <w:noProof/>
                <w:webHidden/>
              </w:rPr>
              <w:fldChar w:fldCharType="end"/>
            </w:r>
          </w:hyperlink>
        </w:p>
        <w:p w14:paraId="76DF129D" w14:textId="3248544E" w:rsidR="00B2533E" w:rsidRDefault="00B2533E">
          <w:pPr>
            <w:pStyle w:val="TOC2"/>
            <w:rPr>
              <w:rFonts w:asciiTheme="minorHAnsi" w:eastAsiaTheme="minorEastAsia" w:hAnsiTheme="minorHAnsi" w:cstheme="minorBidi"/>
              <w:noProof/>
              <w:szCs w:val="22"/>
              <w:lang w:eastAsia="en-GB"/>
            </w:rPr>
          </w:pPr>
          <w:hyperlink w:anchor="_Toc84321245" w:history="1">
            <w:r w:rsidRPr="00D76C7A">
              <w:rPr>
                <w:rStyle w:val="Hyperlink"/>
                <w:noProof/>
              </w:rPr>
              <w:t>4.5</w:t>
            </w:r>
            <w:r>
              <w:rPr>
                <w:rFonts w:asciiTheme="minorHAnsi" w:eastAsiaTheme="minorEastAsia" w:hAnsiTheme="minorHAnsi" w:cstheme="minorBidi"/>
                <w:noProof/>
                <w:szCs w:val="22"/>
                <w:lang w:eastAsia="en-GB"/>
              </w:rPr>
              <w:tab/>
            </w:r>
            <w:r w:rsidRPr="00D76C7A">
              <w:rPr>
                <w:rStyle w:val="Hyperlink"/>
                <w:noProof/>
              </w:rPr>
              <w:t>Line Managers</w:t>
            </w:r>
            <w:r>
              <w:rPr>
                <w:noProof/>
                <w:webHidden/>
              </w:rPr>
              <w:tab/>
            </w:r>
            <w:r>
              <w:rPr>
                <w:noProof/>
                <w:webHidden/>
              </w:rPr>
              <w:fldChar w:fldCharType="begin"/>
            </w:r>
            <w:r>
              <w:rPr>
                <w:noProof/>
                <w:webHidden/>
              </w:rPr>
              <w:instrText xml:space="preserve"> PAGEREF _Toc84321245 \h </w:instrText>
            </w:r>
            <w:r>
              <w:rPr>
                <w:noProof/>
                <w:webHidden/>
              </w:rPr>
            </w:r>
            <w:r>
              <w:rPr>
                <w:noProof/>
                <w:webHidden/>
              </w:rPr>
              <w:fldChar w:fldCharType="separate"/>
            </w:r>
            <w:r>
              <w:rPr>
                <w:noProof/>
                <w:webHidden/>
              </w:rPr>
              <w:t>8</w:t>
            </w:r>
            <w:r>
              <w:rPr>
                <w:noProof/>
                <w:webHidden/>
              </w:rPr>
              <w:fldChar w:fldCharType="end"/>
            </w:r>
          </w:hyperlink>
        </w:p>
        <w:p w14:paraId="66DA08FE" w14:textId="77A70B67" w:rsidR="00B2533E" w:rsidRDefault="00B2533E">
          <w:pPr>
            <w:pStyle w:val="TOC2"/>
            <w:rPr>
              <w:rFonts w:asciiTheme="minorHAnsi" w:eastAsiaTheme="minorEastAsia" w:hAnsiTheme="minorHAnsi" w:cstheme="minorBidi"/>
              <w:noProof/>
              <w:szCs w:val="22"/>
              <w:lang w:eastAsia="en-GB"/>
            </w:rPr>
          </w:pPr>
          <w:hyperlink w:anchor="_Toc84321246" w:history="1">
            <w:r w:rsidRPr="00D76C7A">
              <w:rPr>
                <w:rStyle w:val="Hyperlink"/>
                <w:noProof/>
              </w:rPr>
              <w:t>4.6</w:t>
            </w:r>
            <w:r>
              <w:rPr>
                <w:rFonts w:asciiTheme="minorHAnsi" w:eastAsiaTheme="minorEastAsia" w:hAnsiTheme="minorHAnsi" w:cstheme="minorBidi"/>
                <w:noProof/>
                <w:szCs w:val="22"/>
                <w:lang w:eastAsia="en-GB"/>
              </w:rPr>
              <w:tab/>
            </w:r>
            <w:r w:rsidRPr="00D76C7A">
              <w:rPr>
                <w:rStyle w:val="Hyperlink"/>
                <w:noProof/>
              </w:rPr>
              <w:t>Employees with Information Governance Responsibilities</w:t>
            </w:r>
            <w:r>
              <w:rPr>
                <w:noProof/>
                <w:webHidden/>
              </w:rPr>
              <w:tab/>
            </w:r>
            <w:r>
              <w:rPr>
                <w:noProof/>
                <w:webHidden/>
              </w:rPr>
              <w:fldChar w:fldCharType="begin"/>
            </w:r>
            <w:r>
              <w:rPr>
                <w:noProof/>
                <w:webHidden/>
              </w:rPr>
              <w:instrText xml:space="preserve"> PAGEREF _Toc84321246 \h </w:instrText>
            </w:r>
            <w:r>
              <w:rPr>
                <w:noProof/>
                <w:webHidden/>
              </w:rPr>
            </w:r>
            <w:r>
              <w:rPr>
                <w:noProof/>
                <w:webHidden/>
              </w:rPr>
              <w:fldChar w:fldCharType="separate"/>
            </w:r>
            <w:r>
              <w:rPr>
                <w:noProof/>
                <w:webHidden/>
              </w:rPr>
              <w:t>8</w:t>
            </w:r>
            <w:r>
              <w:rPr>
                <w:noProof/>
                <w:webHidden/>
              </w:rPr>
              <w:fldChar w:fldCharType="end"/>
            </w:r>
          </w:hyperlink>
        </w:p>
        <w:p w14:paraId="5597F122" w14:textId="51892449" w:rsidR="00B2533E" w:rsidRDefault="00B2533E">
          <w:pPr>
            <w:pStyle w:val="TOC2"/>
            <w:rPr>
              <w:rFonts w:asciiTheme="minorHAnsi" w:eastAsiaTheme="minorEastAsia" w:hAnsiTheme="minorHAnsi" w:cstheme="minorBidi"/>
              <w:noProof/>
              <w:szCs w:val="22"/>
              <w:lang w:eastAsia="en-GB"/>
            </w:rPr>
          </w:pPr>
          <w:hyperlink w:anchor="_Toc84321247" w:history="1">
            <w:r w:rsidRPr="00D76C7A">
              <w:rPr>
                <w:rStyle w:val="Hyperlink"/>
                <w:noProof/>
              </w:rPr>
              <w:t>4.7</w:t>
            </w:r>
            <w:r>
              <w:rPr>
                <w:rFonts w:asciiTheme="minorHAnsi" w:eastAsiaTheme="minorEastAsia" w:hAnsiTheme="minorHAnsi" w:cstheme="minorBidi"/>
                <w:noProof/>
                <w:szCs w:val="22"/>
                <w:lang w:eastAsia="en-GB"/>
              </w:rPr>
              <w:tab/>
            </w:r>
            <w:r w:rsidRPr="00D76C7A">
              <w:rPr>
                <w:rStyle w:val="Hyperlink"/>
                <w:noProof/>
              </w:rPr>
              <w:t>The IG Steering Group</w:t>
            </w:r>
            <w:r>
              <w:rPr>
                <w:noProof/>
                <w:webHidden/>
              </w:rPr>
              <w:tab/>
            </w:r>
            <w:r>
              <w:rPr>
                <w:noProof/>
                <w:webHidden/>
              </w:rPr>
              <w:fldChar w:fldCharType="begin"/>
            </w:r>
            <w:r>
              <w:rPr>
                <w:noProof/>
                <w:webHidden/>
              </w:rPr>
              <w:instrText xml:space="preserve"> PAGEREF _Toc84321247 \h </w:instrText>
            </w:r>
            <w:r>
              <w:rPr>
                <w:noProof/>
                <w:webHidden/>
              </w:rPr>
            </w:r>
            <w:r>
              <w:rPr>
                <w:noProof/>
                <w:webHidden/>
              </w:rPr>
              <w:fldChar w:fldCharType="separate"/>
            </w:r>
            <w:r>
              <w:rPr>
                <w:noProof/>
                <w:webHidden/>
              </w:rPr>
              <w:t>8</w:t>
            </w:r>
            <w:r>
              <w:rPr>
                <w:noProof/>
                <w:webHidden/>
              </w:rPr>
              <w:fldChar w:fldCharType="end"/>
            </w:r>
          </w:hyperlink>
        </w:p>
        <w:p w14:paraId="410A7EAB" w14:textId="0840F87A" w:rsidR="00B2533E" w:rsidRDefault="00B2533E">
          <w:pPr>
            <w:pStyle w:val="TOC1"/>
            <w:rPr>
              <w:rFonts w:asciiTheme="minorHAnsi" w:eastAsiaTheme="minorEastAsia" w:hAnsiTheme="minorHAnsi" w:cstheme="minorBidi"/>
              <w:noProof/>
              <w:szCs w:val="22"/>
              <w:lang w:eastAsia="en-GB"/>
            </w:rPr>
          </w:pPr>
          <w:hyperlink w:anchor="_Toc84321248" w:history="1">
            <w:r w:rsidRPr="00D76C7A">
              <w:rPr>
                <w:rStyle w:val="Hyperlink"/>
                <w:noProof/>
              </w:rPr>
              <w:t>5</w:t>
            </w:r>
            <w:r>
              <w:rPr>
                <w:rFonts w:asciiTheme="minorHAnsi" w:eastAsiaTheme="minorEastAsia" w:hAnsiTheme="minorHAnsi" w:cstheme="minorBidi"/>
                <w:noProof/>
                <w:szCs w:val="22"/>
                <w:lang w:eastAsia="en-GB"/>
              </w:rPr>
              <w:tab/>
            </w:r>
            <w:r w:rsidRPr="00D76C7A">
              <w:rPr>
                <w:rStyle w:val="Hyperlink"/>
                <w:noProof/>
              </w:rPr>
              <w:t>Further Reading, Consultation and Glossary</w:t>
            </w:r>
            <w:r>
              <w:rPr>
                <w:noProof/>
                <w:webHidden/>
              </w:rPr>
              <w:tab/>
            </w:r>
            <w:r>
              <w:rPr>
                <w:noProof/>
                <w:webHidden/>
              </w:rPr>
              <w:fldChar w:fldCharType="begin"/>
            </w:r>
            <w:r>
              <w:rPr>
                <w:noProof/>
                <w:webHidden/>
              </w:rPr>
              <w:instrText xml:space="preserve"> PAGEREF _Toc84321248 \h </w:instrText>
            </w:r>
            <w:r>
              <w:rPr>
                <w:noProof/>
                <w:webHidden/>
              </w:rPr>
            </w:r>
            <w:r>
              <w:rPr>
                <w:noProof/>
                <w:webHidden/>
              </w:rPr>
              <w:fldChar w:fldCharType="separate"/>
            </w:r>
            <w:r>
              <w:rPr>
                <w:noProof/>
                <w:webHidden/>
              </w:rPr>
              <w:t>8</w:t>
            </w:r>
            <w:r>
              <w:rPr>
                <w:noProof/>
                <w:webHidden/>
              </w:rPr>
              <w:fldChar w:fldCharType="end"/>
            </w:r>
          </w:hyperlink>
        </w:p>
        <w:p w14:paraId="4AAA2D61" w14:textId="52574238" w:rsidR="00B2533E" w:rsidRDefault="00B2533E">
          <w:pPr>
            <w:pStyle w:val="TOC2"/>
            <w:rPr>
              <w:rFonts w:asciiTheme="minorHAnsi" w:eastAsiaTheme="minorEastAsia" w:hAnsiTheme="minorHAnsi" w:cstheme="minorBidi"/>
              <w:noProof/>
              <w:szCs w:val="22"/>
              <w:lang w:eastAsia="en-GB"/>
            </w:rPr>
          </w:pPr>
          <w:hyperlink w:anchor="_Toc84321249" w:history="1">
            <w:r w:rsidRPr="00D76C7A">
              <w:rPr>
                <w:rStyle w:val="Hyperlink"/>
                <w:noProof/>
              </w:rPr>
              <w:t>5.1</w:t>
            </w:r>
            <w:r>
              <w:rPr>
                <w:rFonts w:asciiTheme="minorHAnsi" w:eastAsiaTheme="minorEastAsia" w:hAnsiTheme="minorHAnsi" w:cstheme="minorBidi"/>
                <w:noProof/>
                <w:szCs w:val="22"/>
                <w:lang w:eastAsia="en-GB"/>
              </w:rPr>
              <w:tab/>
            </w:r>
            <w:r w:rsidRPr="00D76C7A">
              <w:rPr>
                <w:rStyle w:val="Hyperlink"/>
                <w:noProof/>
              </w:rPr>
              <w:t>References, Further Reading and Links to Other Policies</w:t>
            </w:r>
            <w:r>
              <w:rPr>
                <w:noProof/>
                <w:webHidden/>
              </w:rPr>
              <w:tab/>
            </w:r>
            <w:r>
              <w:rPr>
                <w:noProof/>
                <w:webHidden/>
              </w:rPr>
              <w:fldChar w:fldCharType="begin"/>
            </w:r>
            <w:r>
              <w:rPr>
                <w:noProof/>
                <w:webHidden/>
              </w:rPr>
              <w:instrText xml:space="preserve"> PAGEREF _Toc84321249 \h </w:instrText>
            </w:r>
            <w:r>
              <w:rPr>
                <w:noProof/>
                <w:webHidden/>
              </w:rPr>
            </w:r>
            <w:r>
              <w:rPr>
                <w:noProof/>
                <w:webHidden/>
              </w:rPr>
              <w:fldChar w:fldCharType="separate"/>
            </w:r>
            <w:r>
              <w:rPr>
                <w:noProof/>
                <w:webHidden/>
              </w:rPr>
              <w:t>8</w:t>
            </w:r>
            <w:r>
              <w:rPr>
                <w:noProof/>
                <w:webHidden/>
              </w:rPr>
              <w:fldChar w:fldCharType="end"/>
            </w:r>
          </w:hyperlink>
        </w:p>
        <w:p w14:paraId="7D9BB21C" w14:textId="32664844" w:rsidR="00B2533E" w:rsidRDefault="00B2533E">
          <w:pPr>
            <w:pStyle w:val="TOC2"/>
            <w:rPr>
              <w:rFonts w:asciiTheme="minorHAnsi" w:eastAsiaTheme="minorEastAsia" w:hAnsiTheme="minorHAnsi" w:cstheme="minorBidi"/>
              <w:noProof/>
              <w:szCs w:val="22"/>
              <w:lang w:eastAsia="en-GB"/>
            </w:rPr>
          </w:pPr>
          <w:hyperlink w:anchor="_Toc84321250" w:history="1">
            <w:r w:rsidRPr="00D76C7A">
              <w:rPr>
                <w:rStyle w:val="Hyperlink"/>
                <w:noProof/>
              </w:rPr>
              <w:t>5.2</w:t>
            </w:r>
            <w:r>
              <w:rPr>
                <w:rFonts w:asciiTheme="minorHAnsi" w:eastAsiaTheme="minorEastAsia" w:hAnsiTheme="minorHAnsi" w:cstheme="minorBidi"/>
                <w:noProof/>
                <w:szCs w:val="22"/>
                <w:lang w:eastAsia="en-GB"/>
              </w:rPr>
              <w:tab/>
            </w:r>
            <w:r w:rsidRPr="00D76C7A">
              <w:rPr>
                <w:rStyle w:val="Hyperlink"/>
                <w:noProof/>
              </w:rPr>
              <w:t>Consultation Process</w:t>
            </w:r>
            <w:r>
              <w:rPr>
                <w:noProof/>
                <w:webHidden/>
              </w:rPr>
              <w:tab/>
            </w:r>
            <w:r>
              <w:rPr>
                <w:noProof/>
                <w:webHidden/>
              </w:rPr>
              <w:fldChar w:fldCharType="begin"/>
            </w:r>
            <w:r>
              <w:rPr>
                <w:noProof/>
                <w:webHidden/>
              </w:rPr>
              <w:instrText xml:space="preserve"> PAGEREF _Toc84321250 \h </w:instrText>
            </w:r>
            <w:r>
              <w:rPr>
                <w:noProof/>
                <w:webHidden/>
              </w:rPr>
            </w:r>
            <w:r>
              <w:rPr>
                <w:noProof/>
                <w:webHidden/>
              </w:rPr>
              <w:fldChar w:fldCharType="separate"/>
            </w:r>
            <w:r>
              <w:rPr>
                <w:noProof/>
                <w:webHidden/>
              </w:rPr>
              <w:t>9</w:t>
            </w:r>
            <w:r>
              <w:rPr>
                <w:noProof/>
                <w:webHidden/>
              </w:rPr>
              <w:fldChar w:fldCharType="end"/>
            </w:r>
          </w:hyperlink>
        </w:p>
        <w:p w14:paraId="590CCE23" w14:textId="5C3F5D9D" w:rsidR="00B2533E" w:rsidRDefault="00B2533E">
          <w:pPr>
            <w:pStyle w:val="TOC1"/>
            <w:rPr>
              <w:rFonts w:asciiTheme="minorHAnsi" w:eastAsiaTheme="minorEastAsia" w:hAnsiTheme="minorHAnsi" w:cstheme="minorBidi"/>
              <w:noProof/>
              <w:szCs w:val="22"/>
              <w:lang w:eastAsia="en-GB"/>
            </w:rPr>
          </w:pPr>
          <w:hyperlink w:anchor="_Toc84321251" w:history="1">
            <w:r w:rsidRPr="00D76C7A">
              <w:rPr>
                <w:rStyle w:val="Hyperlink"/>
                <w:noProof/>
              </w:rPr>
              <w:t>6</w:t>
            </w:r>
            <w:r>
              <w:rPr>
                <w:rFonts w:asciiTheme="minorHAnsi" w:eastAsiaTheme="minorEastAsia" w:hAnsiTheme="minorHAnsi" w:cstheme="minorBidi"/>
                <w:noProof/>
                <w:szCs w:val="22"/>
                <w:lang w:eastAsia="en-GB"/>
              </w:rPr>
              <w:tab/>
            </w:r>
            <w:r w:rsidRPr="00D76C7A">
              <w:rPr>
                <w:rStyle w:val="Hyperlink"/>
                <w:noProof/>
              </w:rPr>
              <w:t>Equality Impact Assessment</w:t>
            </w:r>
            <w:r>
              <w:rPr>
                <w:noProof/>
                <w:webHidden/>
              </w:rPr>
              <w:tab/>
            </w:r>
            <w:r>
              <w:rPr>
                <w:noProof/>
                <w:webHidden/>
              </w:rPr>
              <w:fldChar w:fldCharType="begin"/>
            </w:r>
            <w:r>
              <w:rPr>
                <w:noProof/>
                <w:webHidden/>
              </w:rPr>
              <w:instrText xml:space="preserve"> PAGEREF _Toc84321251 \h </w:instrText>
            </w:r>
            <w:r>
              <w:rPr>
                <w:noProof/>
                <w:webHidden/>
              </w:rPr>
            </w:r>
            <w:r>
              <w:rPr>
                <w:noProof/>
                <w:webHidden/>
              </w:rPr>
              <w:fldChar w:fldCharType="separate"/>
            </w:r>
            <w:r>
              <w:rPr>
                <w:noProof/>
                <w:webHidden/>
              </w:rPr>
              <w:t>9</w:t>
            </w:r>
            <w:r>
              <w:rPr>
                <w:noProof/>
                <w:webHidden/>
              </w:rPr>
              <w:fldChar w:fldCharType="end"/>
            </w:r>
          </w:hyperlink>
        </w:p>
        <w:p w14:paraId="5B4CF931" w14:textId="3569F810" w:rsidR="00B2533E" w:rsidRDefault="00B2533E">
          <w:pPr>
            <w:pStyle w:val="TOC1"/>
            <w:rPr>
              <w:rFonts w:asciiTheme="minorHAnsi" w:eastAsiaTheme="minorEastAsia" w:hAnsiTheme="minorHAnsi" w:cstheme="minorBidi"/>
              <w:noProof/>
              <w:szCs w:val="22"/>
              <w:lang w:eastAsia="en-GB"/>
            </w:rPr>
          </w:pPr>
          <w:hyperlink w:anchor="_Toc84321252" w:history="1">
            <w:r w:rsidRPr="00D76C7A">
              <w:rPr>
                <w:rStyle w:val="Hyperlink"/>
                <w:noProof/>
              </w:rPr>
              <w:t>Appendix B – Lawful Bases for Processing and rights of the Data Subject</w:t>
            </w:r>
            <w:r>
              <w:rPr>
                <w:noProof/>
                <w:webHidden/>
              </w:rPr>
              <w:tab/>
            </w:r>
            <w:r>
              <w:rPr>
                <w:noProof/>
                <w:webHidden/>
              </w:rPr>
              <w:fldChar w:fldCharType="begin"/>
            </w:r>
            <w:r>
              <w:rPr>
                <w:noProof/>
                <w:webHidden/>
              </w:rPr>
              <w:instrText xml:space="preserve"> PAGEREF _Toc84321252 \h </w:instrText>
            </w:r>
            <w:r>
              <w:rPr>
                <w:noProof/>
                <w:webHidden/>
              </w:rPr>
            </w:r>
            <w:r>
              <w:rPr>
                <w:noProof/>
                <w:webHidden/>
              </w:rPr>
              <w:fldChar w:fldCharType="separate"/>
            </w:r>
            <w:r>
              <w:rPr>
                <w:noProof/>
                <w:webHidden/>
              </w:rPr>
              <w:t>12</w:t>
            </w:r>
            <w:r>
              <w:rPr>
                <w:noProof/>
                <w:webHidden/>
              </w:rPr>
              <w:fldChar w:fldCharType="end"/>
            </w:r>
          </w:hyperlink>
        </w:p>
        <w:p w14:paraId="3300BCE5" w14:textId="260A25FD" w:rsidR="00B2533E" w:rsidRDefault="00B2533E">
          <w:pPr>
            <w:pStyle w:val="TOC1"/>
            <w:rPr>
              <w:rFonts w:asciiTheme="minorHAnsi" w:eastAsiaTheme="minorEastAsia" w:hAnsiTheme="minorHAnsi" w:cstheme="minorBidi"/>
              <w:noProof/>
              <w:szCs w:val="22"/>
              <w:lang w:eastAsia="en-GB"/>
            </w:rPr>
          </w:pPr>
          <w:hyperlink w:anchor="_Toc84321253" w:history="1">
            <w:r w:rsidRPr="00D76C7A">
              <w:rPr>
                <w:rStyle w:val="Hyperlink"/>
                <w:noProof/>
              </w:rPr>
              <w:t>Appendix C - Valid Consent  (Patient)</w:t>
            </w:r>
            <w:r>
              <w:rPr>
                <w:noProof/>
                <w:webHidden/>
              </w:rPr>
              <w:tab/>
            </w:r>
            <w:r>
              <w:rPr>
                <w:noProof/>
                <w:webHidden/>
              </w:rPr>
              <w:fldChar w:fldCharType="begin"/>
            </w:r>
            <w:r>
              <w:rPr>
                <w:noProof/>
                <w:webHidden/>
              </w:rPr>
              <w:instrText xml:space="preserve"> PAGEREF _Toc84321253 \h </w:instrText>
            </w:r>
            <w:r>
              <w:rPr>
                <w:noProof/>
                <w:webHidden/>
              </w:rPr>
            </w:r>
            <w:r>
              <w:rPr>
                <w:noProof/>
                <w:webHidden/>
              </w:rPr>
              <w:fldChar w:fldCharType="separate"/>
            </w:r>
            <w:r>
              <w:rPr>
                <w:noProof/>
                <w:webHidden/>
              </w:rPr>
              <w:t>14</w:t>
            </w:r>
            <w:r>
              <w:rPr>
                <w:noProof/>
                <w:webHidden/>
              </w:rPr>
              <w:fldChar w:fldCharType="end"/>
            </w:r>
          </w:hyperlink>
        </w:p>
        <w:p w14:paraId="3E5B6CD7" w14:textId="03B23CFC" w:rsidR="00B2533E" w:rsidRDefault="00B2533E">
          <w:pPr>
            <w:pStyle w:val="TOC1"/>
            <w:rPr>
              <w:rFonts w:asciiTheme="minorHAnsi" w:eastAsiaTheme="minorEastAsia" w:hAnsiTheme="minorHAnsi" w:cstheme="minorBidi"/>
              <w:noProof/>
              <w:szCs w:val="22"/>
              <w:lang w:eastAsia="en-GB"/>
            </w:rPr>
          </w:pPr>
          <w:hyperlink w:anchor="_Toc84321254" w:history="1">
            <w:r w:rsidRPr="00D76C7A">
              <w:rPr>
                <w:rStyle w:val="Hyperlink"/>
                <w:noProof/>
              </w:rPr>
              <w:t>Appendix D – Examples of Disclosures</w:t>
            </w:r>
            <w:r>
              <w:rPr>
                <w:noProof/>
                <w:webHidden/>
              </w:rPr>
              <w:tab/>
            </w:r>
            <w:r>
              <w:rPr>
                <w:noProof/>
                <w:webHidden/>
              </w:rPr>
              <w:fldChar w:fldCharType="begin"/>
            </w:r>
            <w:r>
              <w:rPr>
                <w:noProof/>
                <w:webHidden/>
              </w:rPr>
              <w:instrText xml:space="preserve"> PAGEREF _Toc84321254 \h </w:instrText>
            </w:r>
            <w:r>
              <w:rPr>
                <w:noProof/>
                <w:webHidden/>
              </w:rPr>
            </w:r>
            <w:r>
              <w:rPr>
                <w:noProof/>
                <w:webHidden/>
              </w:rPr>
              <w:fldChar w:fldCharType="separate"/>
            </w:r>
            <w:r>
              <w:rPr>
                <w:noProof/>
                <w:webHidden/>
              </w:rPr>
              <w:t>15</w:t>
            </w:r>
            <w:r>
              <w:rPr>
                <w:noProof/>
                <w:webHidden/>
              </w:rPr>
              <w:fldChar w:fldCharType="end"/>
            </w:r>
          </w:hyperlink>
        </w:p>
        <w:p w14:paraId="546B512A" w14:textId="367C808E" w:rsidR="00B2533E" w:rsidRDefault="00B2533E">
          <w:pPr>
            <w:pStyle w:val="TOC1"/>
            <w:rPr>
              <w:rFonts w:asciiTheme="minorHAnsi" w:eastAsiaTheme="minorEastAsia" w:hAnsiTheme="minorHAnsi" w:cstheme="minorBidi"/>
              <w:noProof/>
              <w:szCs w:val="22"/>
              <w:lang w:eastAsia="en-GB"/>
            </w:rPr>
          </w:pPr>
          <w:hyperlink w:anchor="_Toc84321255" w:history="1">
            <w:r w:rsidRPr="00D76C7A">
              <w:rPr>
                <w:rStyle w:val="Hyperlink"/>
                <w:noProof/>
              </w:rPr>
              <w:t>Appendix E – National Data Op-Out Flowchart</w:t>
            </w:r>
            <w:r>
              <w:rPr>
                <w:noProof/>
                <w:webHidden/>
              </w:rPr>
              <w:tab/>
            </w:r>
            <w:r>
              <w:rPr>
                <w:noProof/>
                <w:webHidden/>
              </w:rPr>
              <w:fldChar w:fldCharType="begin"/>
            </w:r>
            <w:r>
              <w:rPr>
                <w:noProof/>
                <w:webHidden/>
              </w:rPr>
              <w:instrText xml:space="preserve"> PAGEREF _Toc84321255 \h </w:instrText>
            </w:r>
            <w:r>
              <w:rPr>
                <w:noProof/>
                <w:webHidden/>
              </w:rPr>
            </w:r>
            <w:r>
              <w:rPr>
                <w:noProof/>
                <w:webHidden/>
              </w:rPr>
              <w:fldChar w:fldCharType="separate"/>
            </w:r>
            <w:r>
              <w:rPr>
                <w:noProof/>
                <w:webHidden/>
              </w:rPr>
              <w:t>18</w:t>
            </w:r>
            <w:r>
              <w:rPr>
                <w:noProof/>
                <w:webHidden/>
              </w:rPr>
              <w:fldChar w:fldCharType="end"/>
            </w:r>
          </w:hyperlink>
        </w:p>
        <w:p w14:paraId="3415A907" w14:textId="589EC1D8" w:rsidR="00B2533E" w:rsidRDefault="00B2533E">
          <w:pPr>
            <w:pStyle w:val="TOC1"/>
            <w:rPr>
              <w:rFonts w:asciiTheme="minorHAnsi" w:eastAsiaTheme="minorEastAsia" w:hAnsiTheme="minorHAnsi" w:cstheme="minorBidi"/>
              <w:noProof/>
              <w:szCs w:val="22"/>
              <w:lang w:eastAsia="en-GB"/>
            </w:rPr>
          </w:pPr>
          <w:hyperlink w:anchor="_Toc84321256" w:history="1">
            <w:r w:rsidRPr="00D76C7A">
              <w:rPr>
                <w:rStyle w:val="Hyperlink"/>
                <w:noProof/>
              </w:rPr>
              <w:t>Appendix F – Code of Best Practice for Employees in Respect of Confidentiality</w:t>
            </w:r>
            <w:r>
              <w:rPr>
                <w:noProof/>
                <w:webHidden/>
              </w:rPr>
              <w:tab/>
            </w:r>
            <w:r>
              <w:rPr>
                <w:noProof/>
                <w:webHidden/>
              </w:rPr>
              <w:fldChar w:fldCharType="begin"/>
            </w:r>
            <w:r>
              <w:rPr>
                <w:noProof/>
                <w:webHidden/>
              </w:rPr>
              <w:instrText xml:space="preserve"> PAGEREF _Toc84321256 \h </w:instrText>
            </w:r>
            <w:r>
              <w:rPr>
                <w:noProof/>
                <w:webHidden/>
              </w:rPr>
            </w:r>
            <w:r>
              <w:rPr>
                <w:noProof/>
                <w:webHidden/>
              </w:rPr>
              <w:fldChar w:fldCharType="separate"/>
            </w:r>
            <w:r>
              <w:rPr>
                <w:noProof/>
                <w:webHidden/>
              </w:rPr>
              <w:t>19</w:t>
            </w:r>
            <w:r>
              <w:rPr>
                <w:noProof/>
                <w:webHidden/>
              </w:rPr>
              <w:fldChar w:fldCharType="end"/>
            </w:r>
          </w:hyperlink>
        </w:p>
        <w:p w14:paraId="7F873A7D" w14:textId="77777777" w:rsidR="000D0132" w:rsidRDefault="00B63AA6" w:rsidP="00607896">
          <w:pPr>
            <w:sectPr w:rsidR="000D0132" w:rsidSect="009238B9">
              <w:headerReference w:type="default" r:id="rId8"/>
              <w:footerReference w:type="default" r:id="rId9"/>
              <w:headerReference w:type="first" r:id="rId10"/>
              <w:footerReference w:type="first" r:id="rId11"/>
              <w:pgSz w:w="11906" w:h="16838"/>
              <w:pgMar w:top="992" w:right="992" w:bottom="992" w:left="992" w:header="709" w:footer="10" w:gutter="0"/>
              <w:pgNumType w:start="0"/>
              <w:cols w:space="708"/>
              <w:titlePg/>
              <w:docGrid w:linePitch="360"/>
            </w:sectPr>
          </w:pPr>
          <w:r>
            <w:rPr>
              <w:b/>
              <w:bCs/>
              <w:noProof/>
            </w:rPr>
            <w:fldChar w:fldCharType="end"/>
          </w:r>
        </w:p>
      </w:sdtContent>
    </w:sdt>
    <w:p w14:paraId="01DBD52F" w14:textId="77777777" w:rsidR="00607896" w:rsidRPr="00BB7DEA" w:rsidRDefault="00607896" w:rsidP="009D1C49">
      <w:pPr>
        <w:pStyle w:val="Heading1"/>
        <w:ind w:left="1134" w:hanging="1134"/>
      </w:pPr>
      <w:bookmarkStart w:id="0" w:name="_Toc379448622"/>
      <w:bookmarkStart w:id="1" w:name="_Toc427155036"/>
      <w:bookmarkStart w:id="2" w:name="_Toc522191568"/>
      <w:bookmarkStart w:id="3" w:name="_Toc522194963"/>
      <w:bookmarkStart w:id="4" w:name="_Toc522265717"/>
      <w:bookmarkStart w:id="5" w:name="_Toc523221610"/>
      <w:bookmarkStart w:id="6" w:name="_Toc523223508"/>
      <w:bookmarkStart w:id="7" w:name="_Toc84321224"/>
      <w:bookmarkStart w:id="8" w:name="_Toc398565051"/>
      <w:bookmarkStart w:id="9" w:name="_Toc427155055"/>
      <w:r w:rsidRPr="00BB7DEA">
        <w:lastRenderedPageBreak/>
        <w:t>1</w:t>
      </w:r>
      <w:r w:rsidRPr="00BB7DEA">
        <w:tab/>
      </w:r>
      <w:bookmarkEnd w:id="0"/>
      <w:bookmarkEnd w:id="1"/>
      <w:r w:rsidRPr="0080792A">
        <w:t>Introduction &amp; Purpose</w:t>
      </w:r>
      <w:bookmarkEnd w:id="2"/>
      <w:bookmarkEnd w:id="3"/>
      <w:bookmarkEnd w:id="4"/>
      <w:bookmarkEnd w:id="5"/>
      <w:bookmarkEnd w:id="6"/>
      <w:bookmarkEnd w:id="7"/>
    </w:p>
    <w:p w14:paraId="698E24A5" w14:textId="77777777" w:rsidR="00BB5E2B" w:rsidRPr="00BB5E2B" w:rsidRDefault="00BB5E2B" w:rsidP="00BB5E2B">
      <w:pPr>
        <w:rPr>
          <w:szCs w:val="22"/>
        </w:rPr>
      </w:pPr>
      <w:r w:rsidRPr="00BB5E2B">
        <w:rPr>
          <w:szCs w:val="22"/>
        </w:rPr>
        <w:t>Information (both electronic and manual), and the systems it is held within, are a vital asset, both in terms of the clinical management of individual patients and the efficient management of services and resources. They play a key part in governance, service planning and performance management. The security of information is therefore paramount and can be underpinned by ensuring its:</w:t>
      </w:r>
    </w:p>
    <w:p w14:paraId="0D20AD1B" w14:textId="77777777" w:rsidR="00BB5E2B" w:rsidRDefault="00BB5E2B" w:rsidP="00BB5E2B">
      <w:pPr>
        <w:rPr>
          <w:szCs w:val="22"/>
        </w:rPr>
      </w:pPr>
    </w:p>
    <w:p w14:paraId="399DA326" w14:textId="77777777" w:rsidR="00BB5E2B" w:rsidRPr="00BB5E2B" w:rsidRDefault="00BB5E2B" w:rsidP="009D1C49">
      <w:pPr>
        <w:spacing w:after="120"/>
        <w:ind w:left="1134" w:hanging="414"/>
        <w:jc w:val="left"/>
        <w:rPr>
          <w:szCs w:val="22"/>
        </w:rPr>
      </w:pPr>
      <w:r w:rsidRPr="00BB5E2B">
        <w:rPr>
          <w:b/>
          <w:szCs w:val="22"/>
        </w:rPr>
        <w:t>Confidentiality</w:t>
      </w:r>
      <w:r w:rsidRPr="00BB5E2B">
        <w:rPr>
          <w:szCs w:val="22"/>
        </w:rPr>
        <w:t xml:space="preserve"> – information must only be accessed by those authorised to do so </w:t>
      </w:r>
    </w:p>
    <w:p w14:paraId="6F88C770" w14:textId="77777777" w:rsidR="00BB5E2B" w:rsidRPr="00BB5E2B" w:rsidRDefault="00BB5E2B" w:rsidP="00BB5E2B">
      <w:pPr>
        <w:spacing w:after="120"/>
        <w:ind w:left="720"/>
        <w:jc w:val="left"/>
        <w:rPr>
          <w:szCs w:val="22"/>
        </w:rPr>
      </w:pPr>
      <w:r w:rsidRPr="00BB5E2B">
        <w:rPr>
          <w:b/>
          <w:szCs w:val="22"/>
        </w:rPr>
        <w:t>Integrity</w:t>
      </w:r>
      <w:r w:rsidRPr="00BB5E2B">
        <w:rPr>
          <w:szCs w:val="22"/>
        </w:rPr>
        <w:t xml:space="preserve"> – information must be complete and accurate.   All systems, assets and networks must operate correctly, according to specification</w:t>
      </w:r>
    </w:p>
    <w:p w14:paraId="6D57FD55" w14:textId="77777777" w:rsidR="00BB5E2B" w:rsidRPr="00BB5E2B" w:rsidRDefault="00BB5E2B" w:rsidP="00BB5E2B">
      <w:pPr>
        <w:spacing w:after="120"/>
        <w:ind w:left="720"/>
        <w:jc w:val="left"/>
        <w:rPr>
          <w:szCs w:val="22"/>
        </w:rPr>
      </w:pPr>
      <w:r w:rsidRPr="00BB5E2B">
        <w:rPr>
          <w:b/>
          <w:szCs w:val="22"/>
        </w:rPr>
        <w:t>Availability</w:t>
      </w:r>
      <w:r w:rsidRPr="00BB5E2B">
        <w:rPr>
          <w:szCs w:val="22"/>
        </w:rPr>
        <w:t xml:space="preserve"> – information must be available and delivered to the right person, at the time when it is needed.</w:t>
      </w:r>
    </w:p>
    <w:p w14:paraId="639EAA93" w14:textId="77777777" w:rsidR="00BB5E2B" w:rsidRDefault="00BB5E2B" w:rsidP="00BB5E2B">
      <w:pPr>
        <w:rPr>
          <w:szCs w:val="22"/>
        </w:rPr>
      </w:pPr>
      <w:r w:rsidRPr="00BB5E2B">
        <w:rPr>
          <w:szCs w:val="22"/>
        </w:rPr>
        <w:t xml:space="preserve">The </w:t>
      </w:r>
      <w:r>
        <w:rPr>
          <w:szCs w:val="22"/>
        </w:rPr>
        <w:t>purpose</w:t>
      </w:r>
      <w:r w:rsidRPr="00BB5E2B">
        <w:rPr>
          <w:szCs w:val="22"/>
        </w:rPr>
        <w:t xml:space="preserve"> of this policy is to bring together the various</w:t>
      </w:r>
      <w:r w:rsidR="00F35E50">
        <w:rPr>
          <w:szCs w:val="22"/>
        </w:rPr>
        <w:t xml:space="preserve"> United Kingdom</w:t>
      </w:r>
      <w:r w:rsidRPr="00BB5E2B">
        <w:rPr>
          <w:szCs w:val="22"/>
        </w:rPr>
        <w:t xml:space="preserve"> </w:t>
      </w:r>
      <w:r w:rsidR="00F35E50">
        <w:rPr>
          <w:szCs w:val="22"/>
        </w:rPr>
        <w:t>(</w:t>
      </w:r>
      <w:r w:rsidRPr="00BB5E2B">
        <w:rPr>
          <w:szCs w:val="22"/>
        </w:rPr>
        <w:t>UK</w:t>
      </w:r>
      <w:r w:rsidR="00F35E50">
        <w:rPr>
          <w:szCs w:val="22"/>
        </w:rPr>
        <w:t>)</w:t>
      </w:r>
      <w:r w:rsidRPr="00BB5E2B">
        <w:rPr>
          <w:szCs w:val="22"/>
        </w:rPr>
        <w:t xml:space="preserve"> and </w:t>
      </w:r>
      <w:r w:rsidR="00F35E50">
        <w:rPr>
          <w:szCs w:val="22"/>
        </w:rPr>
        <w:t>European Union (</w:t>
      </w:r>
      <w:r w:rsidRPr="00BB5E2B">
        <w:rPr>
          <w:szCs w:val="22"/>
        </w:rPr>
        <w:t>EU</w:t>
      </w:r>
      <w:r w:rsidR="00F35E50">
        <w:rPr>
          <w:szCs w:val="22"/>
        </w:rPr>
        <w:t>)</w:t>
      </w:r>
      <w:r w:rsidRPr="00BB5E2B">
        <w:rPr>
          <w:szCs w:val="22"/>
        </w:rPr>
        <w:t xml:space="preserve"> legislation, and best practice guidance from the Information Commissioner’s Office (ICO), among others. Information Governance (IG) comprises of six key areas: </w:t>
      </w:r>
    </w:p>
    <w:p w14:paraId="5902BD9D" w14:textId="77777777" w:rsidR="00BB5E2B" w:rsidRPr="00BB5E2B" w:rsidRDefault="00BB5E2B" w:rsidP="00BB5E2B">
      <w:pPr>
        <w:rPr>
          <w:szCs w:val="22"/>
        </w:rPr>
      </w:pPr>
    </w:p>
    <w:p w14:paraId="593125AC" w14:textId="77777777" w:rsidR="00BB5E2B" w:rsidRPr="00BB5E2B" w:rsidRDefault="00BB5E2B" w:rsidP="00D84E87">
      <w:pPr>
        <w:pStyle w:val="ListParagraph"/>
        <w:numPr>
          <w:ilvl w:val="0"/>
          <w:numId w:val="29"/>
        </w:numPr>
        <w:ind w:left="851" w:hanging="425"/>
        <w:rPr>
          <w:szCs w:val="22"/>
        </w:rPr>
      </w:pPr>
      <w:r w:rsidRPr="00BB5E2B">
        <w:rPr>
          <w:szCs w:val="22"/>
        </w:rPr>
        <w:t>The common law duty of confidentiality/confidence</w:t>
      </w:r>
      <w:r w:rsidR="00A1415A">
        <w:rPr>
          <w:szCs w:val="22"/>
        </w:rPr>
        <w:t xml:space="preserve"> (Ref 1)</w:t>
      </w:r>
    </w:p>
    <w:p w14:paraId="4D7F1811" w14:textId="77777777" w:rsidR="00BB5E2B" w:rsidRPr="00BB5E2B" w:rsidRDefault="00BB5E2B" w:rsidP="00D84E87">
      <w:pPr>
        <w:pStyle w:val="ListParagraph"/>
        <w:numPr>
          <w:ilvl w:val="0"/>
          <w:numId w:val="29"/>
        </w:numPr>
        <w:ind w:left="851" w:hanging="425"/>
        <w:rPr>
          <w:szCs w:val="22"/>
        </w:rPr>
      </w:pPr>
      <w:r w:rsidRPr="00BB5E2B">
        <w:rPr>
          <w:szCs w:val="22"/>
        </w:rPr>
        <w:t>The Caldicott principles</w:t>
      </w:r>
      <w:r w:rsidR="00A1415A">
        <w:rPr>
          <w:szCs w:val="22"/>
        </w:rPr>
        <w:t xml:space="preserve"> (Ref 2)</w:t>
      </w:r>
    </w:p>
    <w:p w14:paraId="1FCB2330" w14:textId="77777777" w:rsidR="00BB5E2B" w:rsidRPr="00BB5E2B" w:rsidRDefault="00BB5E2B" w:rsidP="00D84E87">
      <w:pPr>
        <w:pStyle w:val="ListParagraph"/>
        <w:numPr>
          <w:ilvl w:val="0"/>
          <w:numId w:val="29"/>
        </w:numPr>
        <w:ind w:left="851" w:hanging="425"/>
        <w:rPr>
          <w:szCs w:val="22"/>
        </w:rPr>
      </w:pPr>
      <w:r w:rsidRPr="00BB5E2B">
        <w:rPr>
          <w:szCs w:val="22"/>
        </w:rPr>
        <w:t xml:space="preserve">Data Protection Act 2018 (DPA) </w:t>
      </w:r>
      <w:r w:rsidR="00A1415A">
        <w:rPr>
          <w:szCs w:val="22"/>
        </w:rPr>
        <w:t xml:space="preserve">(Ref 3) </w:t>
      </w:r>
      <w:r w:rsidRPr="00BB5E2B">
        <w:rPr>
          <w:szCs w:val="22"/>
        </w:rPr>
        <w:t>and the General Data Protection Regulation (GDPR)</w:t>
      </w:r>
      <w:r w:rsidR="00BA104C">
        <w:rPr>
          <w:szCs w:val="22"/>
        </w:rPr>
        <w:t xml:space="preserve"> (Ref 4</w:t>
      </w:r>
      <w:r w:rsidR="00A1415A">
        <w:rPr>
          <w:szCs w:val="22"/>
        </w:rPr>
        <w:t>)</w:t>
      </w:r>
      <w:r w:rsidR="00347B6F">
        <w:rPr>
          <w:szCs w:val="22"/>
        </w:rPr>
        <w:t xml:space="preserve"> </w:t>
      </w:r>
      <w:r w:rsidR="00347B6F">
        <w:rPr>
          <w:szCs w:val="24"/>
        </w:rPr>
        <w:t xml:space="preserve">(as enacted by the </w:t>
      </w:r>
      <w:r w:rsidR="00347B6F" w:rsidRPr="00373B35">
        <w:t>EU (Withdrawal) Act 2018</w:t>
      </w:r>
      <w:r w:rsidR="006F5F01">
        <w:t xml:space="preserve"> [ref </w:t>
      </w:r>
      <w:r w:rsidR="00347B6F">
        <w:t>3</w:t>
      </w:r>
      <w:r w:rsidR="006F5F01">
        <w:t>1</w:t>
      </w:r>
      <w:r w:rsidR="00347B6F">
        <w:t>] and subsequent regulations)</w:t>
      </w:r>
    </w:p>
    <w:p w14:paraId="4F11A833" w14:textId="77777777" w:rsidR="00BB5E2B" w:rsidRPr="00BB5E2B" w:rsidRDefault="00BB5E2B" w:rsidP="00D84E87">
      <w:pPr>
        <w:pStyle w:val="ListParagraph"/>
        <w:numPr>
          <w:ilvl w:val="0"/>
          <w:numId w:val="29"/>
        </w:numPr>
        <w:ind w:left="851" w:hanging="425"/>
        <w:rPr>
          <w:szCs w:val="22"/>
        </w:rPr>
      </w:pPr>
      <w:r w:rsidRPr="00BB5E2B">
        <w:rPr>
          <w:szCs w:val="22"/>
        </w:rPr>
        <w:t>Freedom of Information Act 2000 (FOI)</w:t>
      </w:r>
      <w:r w:rsidR="00BA104C">
        <w:rPr>
          <w:szCs w:val="22"/>
        </w:rPr>
        <w:t xml:space="preserve"> (Ref 5</w:t>
      </w:r>
      <w:r w:rsidR="00A1415A">
        <w:rPr>
          <w:szCs w:val="22"/>
        </w:rPr>
        <w:t>)</w:t>
      </w:r>
    </w:p>
    <w:p w14:paraId="736E9C78" w14:textId="77777777" w:rsidR="00BB5E2B" w:rsidRPr="00BB5E2B" w:rsidRDefault="00BB5E2B" w:rsidP="00D84E87">
      <w:pPr>
        <w:pStyle w:val="ListParagraph"/>
        <w:numPr>
          <w:ilvl w:val="0"/>
          <w:numId w:val="29"/>
        </w:numPr>
        <w:ind w:left="851" w:hanging="425"/>
        <w:rPr>
          <w:szCs w:val="22"/>
        </w:rPr>
      </w:pPr>
      <w:r w:rsidRPr="00BB5E2B">
        <w:rPr>
          <w:szCs w:val="22"/>
        </w:rPr>
        <w:t xml:space="preserve">Information Security </w:t>
      </w:r>
    </w:p>
    <w:p w14:paraId="75758FAB" w14:textId="77777777" w:rsidR="00BB5E2B" w:rsidRPr="00BB5E2B" w:rsidRDefault="00D84E87" w:rsidP="00D84E87">
      <w:pPr>
        <w:pStyle w:val="ListParagraph"/>
        <w:numPr>
          <w:ilvl w:val="0"/>
          <w:numId w:val="29"/>
        </w:numPr>
        <w:ind w:left="851" w:hanging="425"/>
        <w:rPr>
          <w:szCs w:val="22"/>
        </w:rPr>
      </w:pPr>
      <w:r>
        <w:rPr>
          <w:szCs w:val="22"/>
        </w:rPr>
        <w:t>Records Management</w:t>
      </w:r>
      <w:r w:rsidR="00BB5E2B" w:rsidRPr="00BB5E2B">
        <w:rPr>
          <w:szCs w:val="22"/>
        </w:rPr>
        <w:t xml:space="preserve"> </w:t>
      </w:r>
    </w:p>
    <w:p w14:paraId="3A157880" w14:textId="77777777" w:rsidR="00BB5E2B" w:rsidRPr="00BB5E2B" w:rsidRDefault="00BB5E2B" w:rsidP="00BB5E2B">
      <w:pPr>
        <w:rPr>
          <w:szCs w:val="22"/>
        </w:rPr>
      </w:pPr>
    </w:p>
    <w:p w14:paraId="64BC9732" w14:textId="77777777" w:rsidR="00607896" w:rsidRDefault="00BB5E2B" w:rsidP="00BB5E2B">
      <w:pPr>
        <w:rPr>
          <w:szCs w:val="22"/>
        </w:rPr>
      </w:pPr>
      <w:r w:rsidRPr="00BB5E2B">
        <w:rPr>
          <w:szCs w:val="22"/>
        </w:rPr>
        <w:t>To fully understand the requirements of IG, the full catalogue of IG policies should be read in conjunction with this policy.</w:t>
      </w:r>
      <w:r>
        <w:rPr>
          <w:szCs w:val="22"/>
        </w:rPr>
        <w:t xml:space="preserve"> These are listed in Section 5.1 of this document.</w:t>
      </w:r>
    </w:p>
    <w:p w14:paraId="32014B0E" w14:textId="77777777" w:rsidR="00607896" w:rsidRPr="00552106" w:rsidRDefault="00FB621C" w:rsidP="00F35E50">
      <w:pPr>
        <w:pStyle w:val="Heading2"/>
        <w:ind w:left="1134" w:hanging="1134"/>
      </w:pPr>
      <w:bookmarkStart w:id="10" w:name="_Toc522191581"/>
      <w:bookmarkStart w:id="11" w:name="_Toc522194977"/>
      <w:bookmarkStart w:id="12" w:name="_Toc522265731"/>
      <w:bookmarkStart w:id="13" w:name="_Toc523221611"/>
      <w:bookmarkStart w:id="14" w:name="_Toc523223509"/>
      <w:bookmarkStart w:id="15" w:name="_Toc84321225"/>
      <w:proofErr w:type="gramStart"/>
      <w:r>
        <w:t xml:space="preserve">1.1  </w:t>
      </w:r>
      <w:r w:rsidR="00F35E50">
        <w:tab/>
      </w:r>
      <w:proofErr w:type="gramEnd"/>
      <w:r w:rsidR="00607896" w:rsidRPr="00FB621C">
        <w:t>Glossary</w:t>
      </w:r>
      <w:r w:rsidR="00607896" w:rsidRPr="00552106">
        <w:t>/Definitions</w:t>
      </w:r>
      <w:bookmarkEnd w:id="10"/>
      <w:bookmarkEnd w:id="11"/>
      <w:bookmarkEnd w:id="12"/>
      <w:bookmarkEnd w:id="13"/>
      <w:bookmarkEnd w:id="14"/>
      <w:bookmarkEnd w:id="15"/>
    </w:p>
    <w:p w14:paraId="76A93585" w14:textId="77777777" w:rsidR="00607896" w:rsidRPr="00FB621C" w:rsidRDefault="00607896" w:rsidP="00607896">
      <w:pPr>
        <w:rPr>
          <w:color w:val="4F81BD"/>
          <w:szCs w:val="22"/>
        </w:rPr>
      </w:pPr>
    </w:p>
    <w:p w14:paraId="54771C90" w14:textId="77777777" w:rsidR="00607896" w:rsidRDefault="00607896" w:rsidP="00607896">
      <w:pPr>
        <w:rPr>
          <w:szCs w:val="22"/>
        </w:rPr>
      </w:pPr>
      <w:r w:rsidRPr="002E3089">
        <w:rPr>
          <w:szCs w:val="22"/>
        </w:rPr>
        <w:t>The following terms and acronyms are used within the document:</w:t>
      </w:r>
    </w:p>
    <w:p w14:paraId="788F93DB" w14:textId="77777777" w:rsidR="00607896" w:rsidRDefault="00607896" w:rsidP="00607896">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8438"/>
      </w:tblGrid>
      <w:tr w:rsidR="00B62CBB" w14:paraId="2E8A2512" w14:textId="77777777" w:rsidTr="00297F2A">
        <w:tc>
          <w:tcPr>
            <w:tcW w:w="1668" w:type="dxa"/>
          </w:tcPr>
          <w:p w14:paraId="372826B4" w14:textId="77777777" w:rsidR="00B62CBB" w:rsidRDefault="00B62CBB" w:rsidP="009D2C41">
            <w:pPr>
              <w:rPr>
                <w:b/>
                <w:szCs w:val="22"/>
              </w:rPr>
            </w:pPr>
            <w:r>
              <w:rPr>
                <w:b/>
                <w:szCs w:val="22"/>
              </w:rPr>
              <w:t>CCG</w:t>
            </w:r>
          </w:p>
        </w:tc>
        <w:tc>
          <w:tcPr>
            <w:tcW w:w="8438" w:type="dxa"/>
          </w:tcPr>
          <w:p w14:paraId="1A61A1D5" w14:textId="77777777" w:rsidR="00B62CBB" w:rsidRPr="00E569CB" w:rsidRDefault="00B62CBB" w:rsidP="00E569CB">
            <w:pPr>
              <w:rPr>
                <w:szCs w:val="22"/>
              </w:rPr>
            </w:pPr>
            <w:r>
              <w:rPr>
                <w:szCs w:val="22"/>
              </w:rPr>
              <w:t>Clinical Commissioning Group</w:t>
            </w:r>
          </w:p>
        </w:tc>
      </w:tr>
      <w:tr w:rsidR="00B62CBB" w14:paraId="73CE67D1" w14:textId="77777777" w:rsidTr="00297F2A">
        <w:trPr>
          <w:trHeight w:val="70"/>
        </w:trPr>
        <w:tc>
          <w:tcPr>
            <w:tcW w:w="1668" w:type="dxa"/>
          </w:tcPr>
          <w:p w14:paraId="04BD0254" w14:textId="77777777" w:rsidR="00B62CBB" w:rsidRPr="00712552" w:rsidRDefault="00B62CBB" w:rsidP="009D2C41">
            <w:pPr>
              <w:rPr>
                <w:b/>
                <w:szCs w:val="22"/>
              </w:rPr>
            </w:pPr>
            <w:r w:rsidRPr="00712552">
              <w:rPr>
                <w:b/>
                <w:szCs w:val="22"/>
              </w:rPr>
              <w:t>CD</w:t>
            </w:r>
          </w:p>
        </w:tc>
        <w:tc>
          <w:tcPr>
            <w:tcW w:w="8438" w:type="dxa"/>
          </w:tcPr>
          <w:p w14:paraId="620EFB5F" w14:textId="77777777" w:rsidR="00B62CBB" w:rsidRPr="00712552" w:rsidRDefault="00B62CBB" w:rsidP="009D2C41">
            <w:pPr>
              <w:rPr>
                <w:szCs w:val="22"/>
              </w:rPr>
            </w:pPr>
            <w:r w:rsidRPr="00712552">
              <w:rPr>
                <w:szCs w:val="22"/>
              </w:rPr>
              <w:t>Compact Disk</w:t>
            </w:r>
          </w:p>
        </w:tc>
      </w:tr>
      <w:tr w:rsidR="00B62CBB" w14:paraId="0DB6C360" w14:textId="77777777" w:rsidTr="00297F2A">
        <w:tc>
          <w:tcPr>
            <w:tcW w:w="1668" w:type="dxa"/>
          </w:tcPr>
          <w:p w14:paraId="5071A3E0" w14:textId="77777777" w:rsidR="00B62CBB" w:rsidRDefault="00B62CBB" w:rsidP="009D2C41">
            <w:pPr>
              <w:rPr>
                <w:b/>
                <w:szCs w:val="22"/>
              </w:rPr>
            </w:pPr>
            <w:r>
              <w:rPr>
                <w:b/>
                <w:szCs w:val="22"/>
              </w:rPr>
              <w:t>CQC</w:t>
            </w:r>
          </w:p>
        </w:tc>
        <w:tc>
          <w:tcPr>
            <w:tcW w:w="8438" w:type="dxa"/>
          </w:tcPr>
          <w:p w14:paraId="32A8B865" w14:textId="77777777" w:rsidR="00B62CBB" w:rsidRPr="00E569CB" w:rsidRDefault="00B62CBB" w:rsidP="00E569CB">
            <w:pPr>
              <w:rPr>
                <w:szCs w:val="22"/>
              </w:rPr>
            </w:pPr>
            <w:r>
              <w:rPr>
                <w:szCs w:val="22"/>
              </w:rPr>
              <w:t>Care Quality Commission</w:t>
            </w:r>
          </w:p>
        </w:tc>
      </w:tr>
      <w:tr w:rsidR="00B62CBB" w14:paraId="099DE3D4" w14:textId="77777777" w:rsidTr="00297F2A">
        <w:tc>
          <w:tcPr>
            <w:tcW w:w="1668" w:type="dxa"/>
          </w:tcPr>
          <w:p w14:paraId="3771F4B2" w14:textId="77777777" w:rsidR="00B62CBB" w:rsidRDefault="00B62CBB" w:rsidP="009D2C41">
            <w:pPr>
              <w:rPr>
                <w:b/>
                <w:szCs w:val="22"/>
              </w:rPr>
            </w:pPr>
            <w:r>
              <w:rPr>
                <w:b/>
                <w:szCs w:val="22"/>
              </w:rPr>
              <w:t>Data Subject</w:t>
            </w:r>
          </w:p>
        </w:tc>
        <w:tc>
          <w:tcPr>
            <w:tcW w:w="8438" w:type="dxa"/>
          </w:tcPr>
          <w:p w14:paraId="29C51AB2" w14:textId="77777777" w:rsidR="00B62CBB" w:rsidRDefault="00B62CBB" w:rsidP="00E569CB">
            <w:pPr>
              <w:rPr>
                <w:szCs w:val="22"/>
              </w:rPr>
            </w:pPr>
            <w:r w:rsidRPr="00E569CB">
              <w:rPr>
                <w:szCs w:val="22"/>
              </w:rPr>
              <w:t>Any person whose personal data is being collected, held or processed</w:t>
            </w:r>
            <w:r>
              <w:rPr>
                <w:szCs w:val="22"/>
              </w:rPr>
              <w:t>.</w:t>
            </w:r>
          </w:p>
        </w:tc>
      </w:tr>
      <w:tr w:rsidR="00B62CBB" w14:paraId="40746628" w14:textId="77777777" w:rsidTr="00297F2A">
        <w:tc>
          <w:tcPr>
            <w:tcW w:w="1668" w:type="dxa"/>
          </w:tcPr>
          <w:p w14:paraId="0939E23C" w14:textId="77777777" w:rsidR="00B62CBB" w:rsidRPr="00F815AA" w:rsidRDefault="00B62CBB" w:rsidP="009D2C41">
            <w:pPr>
              <w:rPr>
                <w:b/>
                <w:szCs w:val="22"/>
              </w:rPr>
            </w:pPr>
            <w:r>
              <w:rPr>
                <w:b/>
                <w:szCs w:val="22"/>
              </w:rPr>
              <w:t>DPA</w:t>
            </w:r>
          </w:p>
        </w:tc>
        <w:tc>
          <w:tcPr>
            <w:tcW w:w="8438" w:type="dxa"/>
          </w:tcPr>
          <w:p w14:paraId="0CA8BD57" w14:textId="77777777" w:rsidR="00B62CBB" w:rsidRPr="00F815AA" w:rsidRDefault="00B62CBB" w:rsidP="009D2C41">
            <w:pPr>
              <w:rPr>
                <w:szCs w:val="22"/>
              </w:rPr>
            </w:pPr>
            <w:r>
              <w:rPr>
                <w:szCs w:val="22"/>
              </w:rPr>
              <w:t>Data Protection Act 2018</w:t>
            </w:r>
          </w:p>
        </w:tc>
      </w:tr>
      <w:tr w:rsidR="00B62CBB" w14:paraId="2ACEF237" w14:textId="77777777" w:rsidTr="00297F2A">
        <w:tc>
          <w:tcPr>
            <w:tcW w:w="1668" w:type="dxa"/>
          </w:tcPr>
          <w:p w14:paraId="4C7FE52C" w14:textId="77777777" w:rsidR="00B62CBB" w:rsidRDefault="00B62CBB" w:rsidP="009D2C41">
            <w:pPr>
              <w:rPr>
                <w:b/>
                <w:szCs w:val="22"/>
              </w:rPr>
            </w:pPr>
            <w:r>
              <w:rPr>
                <w:b/>
                <w:szCs w:val="22"/>
              </w:rPr>
              <w:t>DPIA</w:t>
            </w:r>
          </w:p>
        </w:tc>
        <w:tc>
          <w:tcPr>
            <w:tcW w:w="8438" w:type="dxa"/>
          </w:tcPr>
          <w:p w14:paraId="61879E40" w14:textId="77777777" w:rsidR="00B62CBB" w:rsidRDefault="00B62CBB" w:rsidP="009D2C41">
            <w:pPr>
              <w:rPr>
                <w:szCs w:val="22"/>
              </w:rPr>
            </w:pPr>
            <w:r>
              <w:rPr>
                <w:szCs w:val="22"/>
              </w:rPr>
              <w:t>Data Protection Impact Assessment</w:t>
            </w:r>
          </w:p>
        </w:tc>
      </w:tr>
      <w:tr w:rsidR="00B62CBB" w14:paraId="4A1FD073" w14:textId="77777777" w:rsidTr="00297F2A">
        <w:tc>
          <w:tcPr>
            <w:tcW w:w="1668" w:type="dxa"/>
          </w:tcPr>
          <w:p w14:paraId="602EF036" w14:textId="77777777" w:rsidR="00B62CBB" w:rsidRDefault="00B62CBB" w:rsidP="009D2C41">
            <w:pPr>
              <w:rPr>
                <w:b/>
                <w:szCs w:val="22"/>
              </w:rPr>
            </w:pPr>
            <w:r>
              <w:rPr>
                <w:b/>
                <w:szCs w:val="22"/>
              </w:rPr>
              <w:t>DSCRO</w:t>
            </w:r>
          </w:p>
        </w:tc>
        <w:tc>
          <w:tcPr>
            <w:tcW w:w="8438" w:type="dxa"/>
          </w:tcPr>
          <w:p w14:paraId="03C2255B" w14:textId="77777777" w:rsidR="00B62CBB" w:rsidRDefault="00B62CBB" w:rsidP="009D2C41">
            <w:pPr>
              <w:rPr>
                <w:szCs w:val="22"/>
              </w:rPr>
            </w:pPr>
            <w:r>
              <w:rPr>
                <w:szCs w:val="22"/>
              </w:rPr>
              <w:t>Data Services for Commissioners Regional Office</w:t>
            </w:r>
          </w:p>
        </w:tc>
      </w:tr>
      <w:tr w:rsidR="00B62CBB" w14:paraId="07137169" w14:textId="77777777" w:rsidTr="00297F2A">
        <w:tc>
          <w:tcPr>
            <w:tcW w:w="1668" w:type="dxa"/>
          </w:tcPr>
          <w:p w14:paraId="418CB50D" w14:textId="77777777" w:rsidR="00B62CBB" w:rsidRDefault="00B62CBB" w:rsidP="009D2C41">
            <w:pPr>
              <w:rPr>
                <w:b/>
                <w:szCs w:val="22"/>
              </w:rPr>
            </w:pPr>
            <w:r>
              <w:rPr>
                <w:b/>
                <w:szCs w:val="22"/>
              </w:rPr>
              <w:t>DSPT</w:t>
            </w:r>
          </w:p>
        </w:tc>
        <w:tc>
          <w:tcPr>
            <w:tcW w:w="8438" w:type="dxa"/>
          </w:tcPr>
          <w:p w14:paraId="4E0A956E" w14:textId="77777777" w:rsidR="00B62CBB" w:rsidRDefault="00B62CBB" w:rsidP="009D2C41">
            <w:pPr>
              <w:rPr>
                <w:szCs w:val="22"/>
              </w:rPr>
            </w:pPr>
            <w:r>
              <w:rPr>
                <w:szCs w:val="22"/>
              </w:rPr>
              <w:t>Data Security and Protection Toolkit</w:t>
            </w:r>
          </w:p>
        </w:tc>
      </w:tr>
      <w:tr w:rsidR="00B62CBB" w14:paraId="47DF2701" w14:textId="77777777" w:rsidTr="00297F2A">
        <w:trPr>
          <w:trHeight w:val="70"/>
        </w:trPr>
        <w:tc>
          <w:tcPr>
            <w:tcW w:w="1668" w:type="dxa"/>
          </w:tcPr>
          <w:p w14:paraId="0FF27176" w14:textId="77777777" w:rsidR="00B62CBB" w:rsidRPr="00712552" w:rsidRDefault="00B62CBB" w:rsidP="009D2C41">
            <w:pPr>
              <w:rPr>
                <w:b/>
                <w:szCs w:val="22"/>
              </w:rPr>
            </w:pPr>
            <w:r w:rsidRPr="00712552">
              <w:rPr>
                <w:b/>
                <w:szCs w:val="22"/>
              </w:rPr>
              <w:t>DVD</w:t>
            </w:r>
          </w:p>
        </w:tc>
        <w:tc>
          <w:tcPr>
            <w:tcW w:w="8438" w:type="dxa"/>
          </w:tcPr>
          <w:p w14:paraId="62F764B4" w14:textId="77777777" w:rsidR="00B62CBB" w:rsidRPr="00712552" w:rsidRDefault="00B62CBB" w:rsidP="009D2C41">
            <w:pPr>
              <w:rPr>
                <w:szCs w:val="22"/>
              </w:rPr>
            </w:pPr>
            <w:r w:rsidRPr="00712552">
              <w:rPr>
                <w:bCs/>
                <w:szCs w:val="22"/>
              </w:rPr>
              <w:t>Digital Versatile Disc</w:t>
            </w:r>
          </w:p>
        </w:tc>
      </w:tr>
      <w:tr w:rsidR="00B62CBB" w14:paraId="23EB2725" w14:textId="77777777" w:rsidTr="00297F2A">
        <w:trPr>
          <w:trHeight w:val="70"/>
        </w:trPr>
        <w:tc>
          <w:tcPr>
            <w:tcW w:w="1668" w:type="dxa"/>
          </w:tcPr>
          <w:p w14:paraId="56E8347E" w14:textId="77777777" w:rsidR="00B62CBB" w:rsidRPr="00712552" w:rsidRDefault="00B62CBB" w:rsidP="009D2C41">
            <w:pPr>
              <w:rPr>
                <w:b/>
                <w:szCs w:val="22"/>
              </w:rPr>
            </w:pPr>
            <w:r w:rsidRPr="00712552">
              <w:rPr>
                <w:b/>
                <w:szCs w:val="22"/>
              </w:rPr>
              <w:t>EIA</w:t>
            </w:r>
          </w:p>
        </w:tc>
        <w:tc>
          <w:tcPr>
            <w:tcW w:w="8438" w:type="dxa"/>
          </w:tcPr>
          <w:p w14:paraId="2532AB87" w14:textId="77777777" w:rsidR="00B62CBB" w:rsidRPr="00712552" w:rsidRDefault="00B62CBB" w:rsidP="009D2C41">
            <w:pPr>
              <w:rPr>
                <w:szCs w:val="22"/>
              </w:rPr>
            </w:pPr>
            <w:r w:rsidRPr="00712552">
              <w:rPr>
                <w:szCs w:val="22"/>
              </w:rPr>
              <w:t>Equality Impact Assessment</w:t>
            </w:r>
          </w:p>
        </w:tc>
      </w:tr>
      <w:tr w:rsidR="00B62CBB" w14:paraId="74E68C8A" w14:textId="77777777" w:rsidTr="00297F2A">
        <w:trPr>
          <w:trHeight w:val="70"/>
        </w:trPr>
        <w:tc>
          <w:tcPr>
            <w:tcW w:w="1668" w:type="dxa"/>
          </w:tcPr>
          <w:p w14:paraId="0F498CC3" w14:textId="77777777" w:rsidR="00B62CBB" w:rsidRDefault="00B62CBB" w:rsidP="009D2C41">
            <w:pPr>
              <w:rPr>
                <w:b/>
                <w:szCs w:val="22"/>
              </w:rPr>
            </w:pPr>
            <w:r>
              <w:rPr>
                <w:b/>
                <w:szCs w:val="22"/>
              </w:rPr>
              <w:t>EPA</w:t>
            </w:r>
          </w:p>
        </w:tc>
        <w:tc>
          <w:tcPr>
            <w:tcW w:w="8438" w:type="dxa"/>
          </w:tcPr>
          <w:p w14:paraId="13A9D1E9" w14:textId="77777777" w:rsidR="00B62CBB" w:rsidRPr="00712552" w:rsidRDefault="00B62CBB" w:rsidP="00542EFF">
            <w:pPr>
              <w:rPr>
                <w:bCs/>
                <w:szCs w:val="22"/>
              </w:rPr>
            </w:pPr>
            <w:r w:rsidRPr="00712552">
              <w:rPr>
                <w:szCs w:val="22"/>
              </w:rPr>
              <w:t>Enduring Power of Attorney</w:t>
            </w:r>
          </w:p>
        </w:tc>
      </w:tr>
      <w:tr w:rsidR="00B62CBB" w14:paraId="1897FEEE" w14:textId="77777777" w:rsidTr="00297F2A">
        <w:trPr>
          <w:trHeight w:val="70"/>
        </w:trPr>
        <w:tc>
          <w:tcPr>
            <w:tcW w:w="1668" w:type="dxa"/>
          </w:tcPr>
          <w:p w14:paraId="4BAA937A" w14:textId="77777777" w:rsidR="00B62CBB" w:rsidRPr="00712552" w:rsidRDefault="00B62CBB" w:rsidP="009D2C41">
            <w:pPr>
              <w:rPr>
                <w:b/>
                <w:szCs w:val="22"/>
              </w:rPr>
            </w:pPr>
            <w:r w:rsidRPr="00712552">
              <w:rPr>
                <w:b/>
                <w:szCs w:val="22"/>
              </w:rPr>
              <w:t>ESR</w:t>
            </w:r>
          </w:p>
        </w:tc>
        <w:tc>
          <w:tcPr>
            <w:tcW w:w="8438" w:type="dxa"/>
          </w:tcPr>
          <w:p w14:paraId="69E88735" w14:textId="77777777" w:rsidR="00B62CBB" w:rsidRPr="00712552" w:rsidRDefault="00B62CBB" w:rsidP="009D2C41">
            <w:pPr>
              <w:rPr>
                <w:szCs w:val="22"/>
              </w:rPr>
            </w:pPr>
            <w:r w:rsidRPr="00712552">
              <w:rPr>
                <w:szCs w:val="22"/>
              </w:rPr>
              <w:t>Electronic Staff Record</w:t>
            </w:r>
          </w:p>
        </w:tc>
      </w:tr>
      <w:tr w:rsidR="00B62CBB" w14:paraId="0BA5E895" w14:textId="77777777" w:rsidTr="00297F2A">
        <w:trPr>
          <w:trHeight w:val="70"/>
        </w:trPr>
        <w:tc>
          <w:tcPr>
            <w:tcW w:w="1668" w:type="dxa"/>
          </w:tcPr>
          <w:p w14:paraId="1A1BC1E9" w14:textId="77777777" w:rsidR="00B62CBB" w:rsidRPr="00712552" w:rsidRDefault="00B62CBB" w:rsidP="009D2C41">
            <w:pPr>
              <w:rPr>
                <w:b/>
                <w:szCs w:val="22"/>
              </w:rPr>
            </w:pPr>
            <w:r w:rsidRPr="00712552">
              <w:rPr>
                <w:b/>
                <w:szCs w:val="22"/>
              </w:rPr>
              <w:t>EU</w:t>
            </w:r>
          </w:p>
        </w:tc>
        <w:tc>
          <w:tcPr>
            <w:tcW w:w="8438" w:type="dxa"/>
          </w:tcPr>
          <w:p w14:paraId="35EACC21" w14:textId="77777777" w:rsidR="00B62CBB" w:rsidRPr="00712552" w:rsidRDefault="00B62CBB" w:rsidP="009D2C41">
            <w:pPr>
              <w:rPr>
                <w:szCs w:val="22"/>
              </w:rPr>
            </w:pPr>
            <w:r w:rsidRPr="00712552">
              <w:rPr>
                <w:szCs w:val="22"/>
              </w:rPr>
              <w:t>European Union</w:t>
            </w:r>
          </w:p>
        </w:tc>
      </w:tr>
      <w:tr w:rsidR="00B62CBB" w14:paraId="523F84D8" w14:textId="77777777" w:rsidTr="00297F2A">
        <w:tc>
          <w:tcPr>
            <w:tcW w:w="1668" w:type="dxa"/>
          </w:tcPr>
          <w:p w14:paraId="76D84064" w14:textId="77777777" w:rsidR="00B62CBB" w:rsidRPr="003810D1" w:rsidRDefault="00B62CBB" w:rsidP="009D2C41">
            <w:pPr>
              <w:rPr>
                <w:b/>
                <w:szCs w:val="22"/>
              </w:rPr>
            </w:pPr>
            <w:r>
              <w:rPr>
                <w:b/>
                <w:szCs w:val="22"/>
              </w:rPr>
              <w:t>FOI</w:t>
            </w:r>
          </w:p>
        </w:tc>
        <w:tc>
          <w:tcPr>
            <w:tcW w:w="8438" w:type="dxa"/>
          </w:tcPr>
          <w:p w14:paraId="612B393B" w14:textId="77777777" w:rsidR="00B62CBB" w:rsidRPr="00F815AA" w:rsidRDefault="00B62CBB" w:rsidP="009D2C41">
            <w:pPr>
              <w:rPr>
                <w:szCs w:val="22"/>
              </w:rPr>
            </w:pPr>
            <w:r>
              <w:rPr>
                <w:szCs w:val="22"/>
              </w:rPr>
              <w:t>Freedom of Information Act 2000</w:t>
            </w:r>
          </w:p>
        </w:tc>
      </w:tr>
      <w:tr w:rsidR="00B62CBB" w14:paraId="4EA2BDB2" w14:textId="77777777" w:rsidTr="00297F2A">
        <w:tc>
          <w:tcPr>
            <w:tcW w:w="1668" w:type="dxa"/>
          </w:tcPr>
          <w:p w14:paraId="69D82856" w14:textId="77777777" w:rsidR="00B62CBB" w:rsidRPr="00F815AA" w:rsidRDefault="00B62CBB" w:rsidP="009D2C41">
            <w:pPr>
              <w:rPr>
                <w:b/>
                <w:szCs w:val="22"/>
              </w:rPr>
            </w:pPr>
            <w:r>
              <w:rPr>
                <w:b/>
                <w:szCs w:val="22"/>
              </w:rPr>
              <w:t>GDPR</w:t>
            </w:r>
          </w:p>
        </w:tc>
        <w:tc>
          <w:tcPr>
            <w:tcW w:w="8438" w:type="dxa"/>
          </w:tcPr>
          <w:p w14:paraId="24904B3A" w14:textId="77777777" w:rsidR="00B62CBB" w:rsidRPr="00F815AA" w:rsidRDefault="00B62CBB" w:rsidP="009D2C41">
            <w:pPr>
              <w:rPr>
                <w:szCs w:val="22"/>
              </w:rPr>
            </w:pPr>
            <w:r>
              <w:rPr>
                <w:szCs w:val="22"/>
              </w:rPr>
              <w:t>General Data Protection Regulation</w:t>
            </w:r>
          </w:p>
        </w:tc>
      </w:tr>
      <w:tr w:rsidR="00B62CBB" w14:paraId="4A8D241A" w14:textId="77777777" w:rsidTr="00297F2A">
        <w:tc>
          <w:tcPr>
            <w:tcW w:w="1668" w:type="dxa"/>
          </w:tcPr>
          <w:p w14:paraId="54543665" w14:textId="77777777" w:rsidR="00B62CBB" w:rsidRDefault="00B62CBB" w:rsidP="009D2C41">
            <w:pPr>
              <w:rPr>
                <w:b/>
                <w:szCs w:val="22"/>
              </w:rPr>
            </w:pPr>
            <w:r>
              <w:rPr>
                <w:b/>
                <w:szCs w:val="22"/>
              </w:rPr>
              <w:t>GMC</w:t>
            </w:r>
          </w:p>
        </w:tc>
        <w:tc>
          <w:tcPr>
            <w:tcW w:w="8438" w:type="dxa"/>
          </w:tcPr>
          <w:p w14:paraId="3DB7ADA3" w14:textId="77777777" w:rsidR="00B62CBB" w:rsidRDefault="00B62CBB" w:rsidP="009D2C41">
            <w:pPr>
              <w:rPr>
                <w:szCs w:val="22"/>
              </w:rPr>
            </w:pPr>
            <w:r>
              <w:rPr>
                <w:szCs w:val="22"/>
              </w:rPr>
              <w:t>General Medical Council</w:t>
            </w:r>
          </w:p>
        </w:tc>
      </w:tr>
      <w:tr w:rsidR="00B62CBB" w14:paraId="519CB6D2" w14:textId="77777777" w:rsidTr="00297F2A">
        <w:trPr>
          <w:trHeight w:val="70"/>
        </w:trPr>
        <w:tc>
          <w:tcPr>
            <w:tcW w:w="1668" w:type="dxa"/>
          </w:tcPr>
          <w:p w14:paraId="23AEC3C7" w14:textId="77777777" w:rsidR="00B62CBB" w:rsidRPr="00712552" w:rsidRDefault="00B62CBB" w:rsidP="009D2C41">
            <w:pPr>
              <w:rPr>
                <w:b/>
                <w:szCs w:val="22"/>
              </w:rPr>
            </w:pPr>
            <w:r w:rsidRPr="00712552">
              <w:rPr>
                <w:b/>
                <w:szCs w:val="22"/>
              </w:rPr>
              <w:t>GMC</w:t>
            </w:r>
          </w:p>
        </w:tc>
        <w:tc>
          <w:tcPr>
            <w:tcW w:w="8438" w:type="dxa"/>
          </w:tcPr>
          <w:p w14:paraId="029963F7" w14:textId="77777777" w:rsidR="00B62CBB" w:rsidRPr="00712552" w:rsidRDefault="00B62CBB" w:rsidP="009D2C41">
            <w:pPr>
              <w:rPr>
                <w:szCs w:val="22"/>
              </w:rPr>
            </w:pPr>
            <w:r>
              <w:rPr>
                <w:szCs w:val="22"/>
              </w:rPr>
              <w:t>General Medical Council</w:t>
            </w:r>
          </w:p>
        </w:tc>
      </w:tr>
      <w:tr w:rsidR="00B62CBB" w14:paraId="66BF8A40" w14:textId="77777777" w:rsidTr="00297F2A">
        <w:trPr>
          <w:trHeight w:val="70"/>
        </w:trPr>
        <w:tc>
          <w:tcPr>
            <w:tcW w:w="1668" w:type="dxa"/>
          </w:tcPr>
          <w:p w14:paraId="041E8A0F" w14:textId="77777777" w:rsidR="00B62CBB" w:rsidRPr="00712552" w:rsidRDefault="00B62CBB" w:rsidP="009D2C41">
            <w:pPr>
              <w:rPr>
                <w:b/>
                <w:szCs w:val="22"/>
              </w:rPr>
            </w:pPr>
            <w:r w:rsidRPr="00712552">
              <w:rPr>
                <w:b/>
                <w:szCs w:val="22"/>
              </w:rPr>
              <w:t>GP</w:t>
            </w:r>
          </w:p>
        </w:tc>
        <w:tc>
          <w:tcPr>
            <w:tcW w:w="8438" w:type="dxa"/>
          </w:tcPr>
          <w:p w14:paraId="22A31DEB" w14:textId="77777777" w:rsidR="00B62CBB" w:rsidRPr="00712552" w:rsidRDefault="00B62CBB" w:rsidP="009D2C41">
            <w:pPr>
              <w:rPr>
                <w:szCs w:val="22"/>
              </w:rPr>
            </w:pPr>
            <w:r w:rsidRPr="00712552">
              <w:rPr>
                <w:szCs w:val="22"/>
              </w:rPr>
              <w:t>General Practitioner</w:t>
            </w:r>
          </w:p>
        </w:tc>
      </w:tr>
      <w:tr w:rsidR="00B62CBB" w14:paraId="6C68B377" w14:textId="77777777" w:rsidTr="00297F2A">
        <w:tc>
          <w:tcPr>
            <w:tcW w:w="1668" w:type="dxa"/>
          </w:tcPr>
          <w:p w14:paraId="5D2796D5" w14:textId="77777777" w:rsidR="00B62CBB" w:rsidRPr="00F815AA" w:rsidRDefault="00B62CBB" w:rsidP="009D2C41">
            <w:pPr>
              <w:rPr>
                <w:b/>
                <w:szCs w:val="22"/>
              </w:rPr>
            </w:pPr>
            <w:r>
              <w:rPr>
                <w:b/>
                <w:szCs w:val="22"/>
              </w:rPr>
              <w:t>ICO</w:t>
            </w:r>
          </w:p>
        </w:tc>
        <w:tc>
          <w:tcPr>
            <w:tcW w:w="8438" w:type="dxa"/>
          </w:tcPr>
          <w:p w14:paraId="52D2648F" w14:textId="77777777" w:rsidR="00B62CBB" w:rsidRPr="00F815AA" w:rsidRDefault="00B62CBB" w:rsidP="009D2C41">
            <w:pPr>
              <w:rPr>
                <w:szCs w:val="22"/>
              </w:rPr>
            </w:pPr>
            <w:r>
              <w:rPr>
                <w:szCs w:val="22"/>
              </w:rPr>
              <w:t>Information Commissioner’s Office</w:t>
            </w:r>
          </w:p>
        </w:tc>
      </w:tr>
      <w:tr w:rsidR="00B62CBB" w14:paraId="1FA4D65D" w14:textId="77777777" w:rsidTr="00297F2A">
        <w:tc>
          <w:tcPr>
            <w:tcW w:w="1668" w:type="dxa"/>
          </w:tcPr>
          <w:p w14:paraId="07B9BD31" w14:textId="77777777" w:rsidR="00B62CBB" w:rsidRPr="00801E1F" w:rsidRDefault="00B62CBB" w:rsidP="009D2C41">
            <w:pPr>
              <w:rPr>
                <w:b/>
                <w:szCs w:val="22"/>
              </w:rPr>
            </w:pPr>
            <w:r w:rsidRPr="00801E1F">
              <w:rPr>
                <w:b/>
                <w:szCs w:val="22"/>
              </w:rPr>
              <w:t>IG</w:t>
            </w:r>
          </w:p>
        </w:tc>
        <w:tc>
          <w:tcPr>
            <w:tcW w:w="8438" w:type="dxa"/>
          </w:tcPr>
          <w:p w14:paraId="7B9BB612" w14:textId="77777777" w:rsidR="00B62CBB" w:rsidRPr="00F815AA" w:rsidRDefault="00B62CBB" w:rsidP="009D2C41">
            <w:pPr>
              <w:rPr>
                <w:szCs w:val="22"/>
              </w:rPr>
            </w:pPr>
            <w:r>
              <w:rPr>
                <w:szCs w:val="22"/>
              </w:rPr>
              <w:t>Information Governance</w:t>
            </w:r>
          </w:p>
        </w:tc>
      </w:tr>
      <w:tr w:rsidR="00B62CBB" w14:paraId="7FFC124C" w14:textId="77777777" w:rsidTr="00297F2A">
        <w:tc>
          <w:tcPr>
            <w:tcW w:w="1668" w:type="dxa"/>
          </w:tcPr>
          <w:p w14:paraId="11C07126" w14:textId="77777777" w:rsidR="00B62CBB" w:rsidRPr="00801E1F" w:rsidRDefault="00B62CBB" w:rsidP="009D2C41">
            <w:pPr>
              <w:rPr>
                <w:b/>
                <w:szCs w:val="22"/>
              </w:rPr>
            </w:pPr>
            <w:r w:rsidRPr="00801E1F">
              <w:rPr>
                <w:b/>
                <w:szCs w:val="22"/>
              </w:rPr>
              <w:t>IGSG</w:t>
            </w:r>
          </w:p>
        </w:tc>
        <w:tc>
          <w:tcPr>
            <w:tcW w:w="8438" w:type="dxa"/>
          </w:tcPr>
          <w:p w14:paraId="1EC17D99" w14:textId="77777777" w:rsidR="00B62CBB" w:rsidRPr="00F815AA" w:rsidRDefault="00B62CBB" w:rsidP="009D2C41">
            <w:pPr>
              <w:rPr>
                <w:szCs w:val="22"/>
              </w:rPr>
            </w:pPr>
            <w:r>
              <w:rPr>
                <w:szCs w:val="22"/>
              </w:rPr>
              <w:t>Information Governance Steering Group</w:t>
            </w:r>
          </w:p>
        </w:tc>
      </w:tr>
      <w:tr w:rsidR="00B62CBB" w14:paraId="271C9C33" w14:textId="77777777" w:rsidTr="00297F2A">
        <w:trPr>
          <w:trHeight w:val="70"/>
        </w:trPr>
        <w:tc>
          <w:tcPr>
            <w:tcW w:w="1668" w:type="dxa"/>
          </w:tcPr>
          <w:p w14:paraId="0456E4E6" w14:textId="77777777" w:rsidR="00B62CBB" w:rsidRPr="00CF26DC" w:rsidRDefault="00B62CBB" w:rsidP="009D2C41">
            <w:pPr>
              <w:rPr>
                <w:b/>
                <w:szCs w:val="22"/>
              </w:rPr>
            </w:pPr>
            <w:r w:rsidRPr="00CF26DC">
              <w:rPr>
                <w:b/>
                <w:szCs w:val="22"/>
              </w:rPr>
              <w:lastRenderedPageBreak/>
              <w:t>IT</w:t>
            </w:r>
          </w:p>
        </w:tc>
        <w:tc>
          <w:tcPr>
            <w:tcW w:w="8438" w:type="dxa"/>
          </w:tcPr>
          <w:p w14:paraId="149805A1" w14:textId="77777777" w:rsidR="00B62CBB" w:rsidRPr="00CF26DC" w:rsidRDefault="00B62CBB" w:rsidP="009D2C41">
            <w:pPr>
              <w:rPr>
                <w:bCs/>
                <w:szCs w:val="22"/>
              </w:rPr>
            </w:pPr>
            <w:r w:rsidRPr="00CF26DC">
              <w:rPr>
                <w:bCs/>
                <w:szCs w:val="22"/>
              </w:rPr>
              <w:t>Information Technology</w:t>
            </w:r>
          </w:p>
        </w:tc>
      </w:tr>
      <w:tr w:rsidR="00B62CBB" w14:paraId="0451C4B4" w14:textId="77777777" w:rsidTr="00297F2A">
        <w:trPr>
          <w:trHeight w:val="70"/>
        </w:trPr>
        <w:tc>
          <w:tcPr>
            <w:tcW w:w="1668" w:type="dxa"/>
          </w:tcPr>
          <w:p w14:paraId="0FA11889" w14:textId="77777777" w:rsidR="00B62CBB" w:rsidRDefault="00B62CBB" w:rsidP="009D2C41">
            <w:pPr>
              <w:rPr>
                <w:b/>
                <w:szCs w:val="22"/>
              </w:rPr>
            </w:pPr>
            <w:r>
              <w:rPr>
                <w:b/>
                <w:szCs w:val="22"/>
              </w:rPr>
              <w:t>LPA</w:t>
            </w:r>
          </w:p>
        </w:tc>
        <w:tc>
          <w:tcPr>
            <w:tcW w:w="8438" w:type="dxa"/>
          </w:tcPr>
          <w:p w14:paraId="3237089A" w14:textId="77777777" w:rsidR="00B62CBB" w:rsidRPr="00712552" w:rsidRDefault="00B62CBB" w:rsidP="00542EFF">
            <w:pPr>
              <w:rPr>
                <w:szCs w:val="22"/>
              </w:rPr>
            </w:pPr>
            <w:r w:rsidRPr="00712552">
              <w:rPr>
                <w:color w:val="000000"/>
                <w:szCs w:val="22"/>
              </w:rPr>
              <w:t>Lasting Power of Attorney</w:t>
            </w:r>
          </w:p>
        </w:tc>
      </w:tr>
      <w:tr w:rsidR="00B62CBB" w14:paraId="0B7F024C" w14:textId="77777777" w:rsidTr="00297F2A">
        <w:tc>
          <w:tcPr>
            <w:tcW w:w="1668" w:type="dxa"/>
          </w:tcPr>
          <w:p w14:paraId="4FF3EF2D" w14:textId="77777777" w:rsidR="00B62CBB" w:rsidRPr="00801E1F" w:rsidRDefault="00B62CBB" w:rsidP="009D2C41">
            <w:pPr>
              <w:rPr>
                <w:b/>
                <w:szCs w:val="22"/>
              </w:rPr>
            </w:pPr>
            <w:r>
              <w:rPr>
                <w:b/>
                <w:szCs w:val="22"/>
              </w:rPr>
              <w:t>LPA / EPA</w:t>
            </w:r>
          </w:p>
        </w:tc>
        <w:tc>
          <w:tcPr>
            <w:tcW w:w="8438" w:type="dxa"/>
          </w:tcPr>
          <w:p w14:paraId="5C2B7D9E" w14:textId="77777777" w:rsidR="00B62CBB" w:rsidRDefault="00B62CBB" w:rsidP="009D2C41">
            <w:pPr>
              <w:rPr>
                <w:szCs w:val="22"/>
              </w:rPr>
            </w:pPr>
            <w:r>
              <w:rPr>
                <w:color w:val="000000"/>
              </w:rPr>
              <w:t>Lasting Power of Attorney / Enduring Power of Attorney</w:t>
            </w:r>
          </w:p>
        </w:tc>
      </w:tr>
      <w:tr w:rsidR="00B62CBB" w14:paraId="347615A9" w14:textId="77777777" w:rsidTr="00297F2A">
        <w:tc>
          <w:tcPr>
            <w:tcW w:w="1668" w:type="dxa"/>
          </w:tcPr>
          <w:p w14:paraId="2287E6AB" w14:textId="77777777" w:rsidR="00B62CBB" w:rsidRDefault="00B62CBB" w:rsidP="009D2C41">
            <w:pPr>
              <w:rPr>
                <w:b/>
                <w:szCs w:val="22"/>
              </w:rPr>
            </w:pPr>
            <w:r>
              <w:rPr>
                <w:b/>
                <w:szCs w:val="22"/>
              </w:rPr>
              <w:t>NHS</w:t>
            </w:r>
          </w:p>
        </w:tc>
        <w:tc>
          <w:tcPr>
            <w:tcW w:w="8438" w:type="dxa"/>
          </w:tcPr>
          <w:p w14:paraId="52A8E56B" w14:textId="77777777" w:rsidR="00B62CBB" w:rsidRDefault="00B62CBB" w:rsidP="009D2C41">
            <w:pPr>
              <w:rPr>
                <w:color w:val="000000"/>
              </w:rPr>
            </w:pPr>
            <w:r>
              <w:rPr>
                <w:color w:val="000000"/>
              </w:rPr>
              <w:t>National Health Service</w:t>
            </w:r>
          </w:p>
        </w:tc>
      </w:tr>
      <w:tr w:rsidR="00B62CBB" w14:paraId="38A3F36D" w14:textId="77777777" w:rsidTr="00297F2A">
        <w:tc>
          <w:tcPr>
            <w:tcW w:w="1668" w:type="dxa"/>
          </w:tcPr>
          <w:p w14:paraId="3129BB6E" w14:textId="77777777" w:rsidR="00B62CBB" w:rsidRDefault="00B62CBB" w:rsidP="009D2C41">
            <w:pPr>
              <w:rPr>
                <w:b/>
                <w:szCs w:val="22"/>
              </w:rPr>
            </w:pPr>
            <w:r>
              <w:rPr>
                <w:b/>
                <w:szCs w:val="22"/>
              </w:rPr>
              <w:t>NMC</w:t>
            </w:r>
          </w:p>
        </w:tc>
        <w:tc>
          <w:tcPr>
            <w:tcW w:w="8438" w:type="dxa"/>
          </w:tcPr>
          <w:p w14:paraId="290825EE" w14:textId="77777777" w:rsidR="00B62CBB" w:rsidRDefault="00B62CBB" w:rsidP="009D2C41">
            <w:pPr>
              <w:rPr>
                <w:color w:val="000000"/>
              </w:rPr>
            </w:pPr>
            <w:r>
              <w:rPr>
                <w:color w:val="000000"/>
              </w:rPr>
              <w:t>Nursing &amp; Midwifery Council</w:t>
            </w:r>
          </w:p>
        </w:tc>
      </w:tr>
      <w:tr w:rsidR="00B62CBB" w14:paraId="0108590A" w14:textId="77777777" w:rsidTr="00297F2A">
        <w:tc>
          <w:tcPr>
            <w:tcW w:w="1668" w:type="dxa"/>
          </w:tcPr>
          <w:p w14:paraId="04BE7FE2" w14:textId="77777777" w:rsidR="00B62CBB" w:rsidRDefault="00B62CBB" w:rsidP="009D2C41">
            <w:pPr>
              <w:rPr>
                <w:b/>
                <w:szCs w:val="22"/>
              </w:rPr>
            </w:pPr>
            <w:r>
              <w:rPr>
                <w:b/>
                <w:szCs w:val="22"/>
              </w:rPr>
              <w:t>PBAC/RBAC</w:t>
            </w:r>
          </w:p>
        </w:tc>
        <w:tc>
          <w:tcPr>
            <w:tcW w:w="8438" w:type="dxa"/>
          </w:tcPr>
          <w:p w14:paraId="1B3CA811" w14:textId="77777777" w:rsidR="00B62CBB" w:rsidRDefault="00B62CBB" w:rsidP="009D2C41">
            <w:pPr>
              <w:rPr>
                <w:color w:val="000000"/>
              </w:rPr>
            </w:pPr>
            <w:r>
              <w:rPr>
                <w:color w:val="000000"/>
              </w:rPr>
              <w:t>Person-based or Role-based Access Control</w:t>
            </w:r>
          </w:p>
        </w:tc>
      </w:tr>
      <w:tr w:rsidR="00B62CBB" w14:paraId="331ED45E" w14:textId="77777777" w:rsidTr="00297F2A">
        <w:tc>
          <w:tcPr>
            <w:tcW w:w="1668" w:type="dxa"/>
          </w:tcPr>
          <w:p w14:paraId="384C8556" w14:textId="77777777" w:rsidR="00B62CBB" w:rsidRDefault="00B62CBB" w:rsidP="009D2C41">
            <w:pPr>
              <w:rPr>
                <w:b/>
                <w:szCs w:val="22"/>
              </w:rPr>
            </w:pPr>
            <w:r>
              <w:rPr>
                <w:b/>
                <w:szCs w:val="22"/>
              </w:rPr>
              <w:t>PC</w:t>
            </w:r>
          </w:p>
        </w:tc>
        <w:tc>
          <w:tcPr>
            <w:tcW w:w="8438" w:type="dxa"/>
          </w:tcPr>
          <w:p w14:paraId="6AA410A1" w14:textId="77777777" w:rsidR="00B62CBB" w:rsidRDefault="00B62CBB" w:rsidP="009D2C41">
            <w:pPr>
              <w:rPr>
                <w:color w:val="000000"/>
              </w:rPr>
            </w:pPr>
            <w:r>
              <w:rPr>
                <w:color w:val="000000"/>
              </w:rPr>
              <w:t>Personal Computer</w:t>
            </w:r>
          </w:p>
        </w:tc>
      </w:tr>
      <w:tr w:rsidR="00B62CBB" w14:paraId="5106CA69" w14:textId="77777777" w:rsidTr="00297F2A">
        <w:tc>
          <w:tcPr>
            <w:tcW w:w="1668" w:type="dxa"/>
          </w:tcPr>
          <w:p w14:paraId="40C5F8DC" w14:textId="77777777" w:rsidR="00B62CBB" w:rsidRDefault="00B62CBB" w:rsidP="009D2C41">
            <w:pPr>
              <w:rPr>
                <w:b/>
                <w:szCs w:val="22"/>
              </w:rPr>
            </w:pPr>
            <w:r>
              <w:rPr>
                <w:b/>
                <w:szCs w:val="22"/>
              </w:rPr>
              <w:t>PHSO</w:t>
            </w:r>
          </w:p>
        </w:tc>
        <w:tc>
          <w:tcPr>
            <w:tcW w:w="8438" w:type="dxa"/>
          </w:tcPr>
          <w:p w14:paraId="05E8DA2E" w14:textId="77777777" w:rsidR="00B62CBB" w:rsidRDefault="00B62CBB" w:rsidP="009D2C41">
            <w:pPr>
              <w:rPr>
                <w:color w:val="000000"/>
              </w:rPr>
            </w:pPr>
            <w:r>
              <w:rPr>
                <w:color w:val="000000"/>
              </w:rPr>
              <w:t>Public Health Service Ombudsman</w:t>
            </w:r>
          </w:p>
        </w:tc>
      </w:tr>
      <w:tr w:rsidR="00B62CBB" w14:paraId="28B99F26" w14:textId="77777777" w:rsidTr="00297F2A">
        <w:trPr>
          <w:trHeight w:val="70"/>
        </w:trPr>
        <w:tc>
          <w:tcPr>
            <w:tcW w:w="1668" w:type="dxa"/>
          </w:tcPr>
          <w:p w14:paraId="0C9004BA" w14:textId="77777777" w:rsidR="00B62CBB" w:rsidRPr="00712552" w:rsidRDefault="00B62CBB" w:rsidP="009D2C41">
            <w:pPr>
              <w:rPr>
                <w:b/>
                <w:szCs w:val="22"/>
              </w:rPr>
            </w:pPr>
            <w:r w:rsidRPr="00712552">
              <w:rPr>
                <w:b/>
                <w:szCs w:val="22"/>
              </w:rPr>
              <w:t>SAR</w:t>
            </w:r>
          </w:p>
        </w:tc>
        <w:tc>
          <w:tcPr>
            <w:tcW w:w="8438" w:type="dxa"/>
          </w:tcPr>
          <w:p w14:paraId="0C11FA3D" w14:textId="77777777" w:rsidR="00B62CBB" w:rsidRPr="00712552" w:rsidRDefault="00B62CBB" w:rsidP="009D2C41">
            <w:pPr>
              <w:rPr>
                <w:szCs w:val="22"/>
              </w:rPr>
            </w:pPr>
            <w:r w:rsidRPr="00712552">
              <w:rPr>
                <w:szCs w:val="22"/>
              </w:rPr>
              <w:t xml:space="preserve">Subject Access Requests </w:t>
            </w:r>
          </w:p>
        </w:tc>
      </w:tr>
      <w:tr w:rsidR="00B62CBB" w14:paraId="55F20778" w14:textId="77777777" w:rsidTr="00297F2A">
        <w:trPr>
          <w:trHeight w:val="70"/>
        </w:trPr>
        <w:tc>
          <w:tcPr>
            <w:tcW w:w="1668" w:type="dxa"/>
          </w:tcPr>
          <w:p w14:paraId="741B35FD" w14:textId="77777777" w:rsidR="00B62CBB" w:rsidRDefault="00B62CBB" w:rsidP="009D2C41">
            <w:pPr>
              <w:rPr>
                <w:b/>
                <w:szCs w:val="22"/>
              </w:rPr>
            </w:pPr>
            <w:r>
              <w:rPr>
                <w:b/>
                <w:szCs w:val="22"/>
              </w:rPr>
              <w:t>SIRO</w:t>
            </w:r>
          </w:p>
        </w:tc>
        <w:tc>
          <w:tcPr>
            <w:tcW w:w="8438" w:type="dxa"/>
          </w:tcPr>
          <w:p w14:paraId="52F32C29" w14:textId="77777777" w:rsidR="00B62CBB" w:rsidRDefault="00B62CBB" w:rsidP="009D2C41">
            <w:pPr>
              <w:rPr>
                <w:szCs w:val="22"/>
              </w:rPr>
            </w:pPr>
            <w:r>
              <w:rPr>
                <w:szCs w:val="22"/>
              </w:rPr>
              <w:t>Senior Information Risk Owner</w:t>
            </w:r>
          </w:p>
        </w:tc>
      </w:tr>
      <w:tr w:rsidR="00B62CBB" w14:paraId="396B43BE" w14:textId="77777777" w:rsidTr="00297F2A">
        <w:trPr>
          <w:trHeight w:val="70"/>
        </w:trPr>
        <w:tc>
          <w:tcPr>
            <w:tcW w:w="1668" w:type="dxa"/>
          </w:tcPr>
          <w:p w14:paraId="411579FC" w14:textId="77777777" w:rsidR="00B62CBB" w:rsidRPr="00801E1F" w:rsidRDefault="00B62CBB" w:rsidP="009D2C41">
            <w:pPr>
              <w:rPr>
                <w:b/>
                <w:szCs w:val="22"/>
              </w:rPr>
            </w:pPr>
            <w:r>
              <w:rPr>
                <w:b/>
                <w:szCs w:val="22"/>
              </w:rPr>
              <w:t>TNA</w:t>
            </w:r>
          </w:p>
        </w:tc>
        <w:tc>
          <w:tcPr>
            <w:tcW w:w="8438" w:type="dxa"/>
          </w:tcPr>
          <w:p w14:paraId="6FF587E5" w14:textId="77777777" w:rsidR="00B62CBB" w:rsidRPr="00F815AA" w:rsidRDefault="00B62CBB" w:rsidP="009D2C41">
            <w:pPr>
              <w:rPr>
                <w:szCs w:val="22"/>
              </w:rPr>
            </w:pPr>
            <w:r>
              <w:rPr>
                <w:szCs w:val="22"/>
              </w:rPr>
              <w:t>Training Needs Analysis</w:t>
            </w:r>
          </w:p>
        </w:tc>
      </w:tr>
      <w:tr w:rsidR="00B62CBB" w14:paraId="582DB2A5" w14:textId="77777777" w:rsidTr="00297F2A">
        <w:trPr>
          <w:trHeight w:val="70"/>
        </w:trPr>
        <w:tc>
          <w:tcPr>
            <w:tcW w:w="1668" w:type="dxa"/>
          </w:tcPr>
          <w:p w14:paraId="6312AB0F" w14:textId="77777777" w:rsidR="00B62CBB" w:rsidRPr="00712552" w:rsidRDefault="00B62CBB" w:rsidP="009D2C41">
            <w:pPr>
              <w:rPr>
                <w:b/>
                <w:szCs w:val="22"/>
              </w:rPr>
            </w:pPr>
            <w:r w:rsidRPr="00712552">
              <w:rPr>
                <w:b/>
                <w:szCs w:val="22"/>
              </w:rPr>
              <w:t>UK</w:t>
            </w:r>
          </w:p>
        </w:tc>
        <w:tc>
          <w:tcPr>
            <w:tcW w:w="8438" w:type="dxa"/>
          </w:tcPr>
          <w:p w14:paraId="5E3952E3" w14:textId="77777777" w:rsidR="00B62CBB" w:rsidRPr="00712552" w:rsidRDefault="00B62CBB" w:rsidP="009D2C41">
            <w:pPr>
              <w:rPr>
                <w:szCs w:val="22"/>
              </w:rPr>
            </w:pPr>
            <w:r w:rsidRPr="00712552">
              <w:rPr>
                <w:szCs w:val="22"/>
              </w:rPr>
              <w:t>United Kingdom</w:t>
            </w:r>
          </w:p>
        </w:tc>
      </w:tr>
      <w:tr w:rsidR="00B62CBB" w14:paraId="61FBB12E" w14:textId="77777777" w:rsidTr="00297F2A">
        <w:trPr>
          <w:trHeight w:val="70"/>
        </w:trPr>
        <w:tc>
          <w:tcPr>
            <w:tcW w:w="1668" w:type="dxa"/>
          </w:tcPr>
          <w:p w14:paraId="6C2B3829" w14:textId="77777777" w:rsidR="00B62CBB" w:rsidRDefault="00B62CBB" w:rsidP="009D2C41">
            <w:pPr>
              <w:rPr>
                <w:b/>
                <w:szCs w:val="22"/>
              </w:rPr>
            </w:pPr>
            <w:r>
              <w:rPr>
                <w:b/>
                <w:szCs w:val="22"/>
              </w:rPr>
              <w:t>USB</w:t>
            </w:r>
          </w:p>
        </w:tc>
        <w:tc>
          <w:tcPr>
            <w:tcW w:w="8438" w:type="dxa"/>
          </w:tcPr>
          <w:p w14:paraId="51165D07" w14:textId="77777777" w:rsidR="00B62CBB" w:rsidRPr="00712552" w:rsidRDefault="00B62CBB" w:rsidP="009D2C41">
            <w:pPr>
              <w:rPr>
                <w:bCs/>
                <w:szCs w:val="22"/>
              </w:rPr>
            </w:pPr>
            <w:r w:rsidRPr="00712552">
              <w:rPr>
                <w:bCs/>
                <w:szCs w:val="22"/>
              </w:rPr>
              <w:t>Universal Serial Bus</w:t>
            </w:r>
          </w:p>
        </w:tc>
      </w:tr>
    </w:tbl>
    <w:p w14:paraId="0FC9112C" w14:textId="77777777" w:rsidR="00607896" w:rsidRPr="003B1196" w:rsidRDefault="00607896" w:rsidP="009D1C49">
      <w:pPr>
        <w:pStyle w:val="Heading1"/>
        <w:ind w:left="1134" w:hanging="1134"/>
      </w:pPr>
      <w:bookmarkStart w:id="16" w:name="_Toc522191569"/>
      <w:bookmarkStart w:id="17" w:name="_Toc522194964"/>
      <w:bookmarkStart w:id="18" w:name="_Toc522265718"/>
      <w:bookmarkStart w:id="19" w:name="_Toc523221612"/>
      <w:bookmarkStart w:id="20" w:name="_Toc523223510"/>
      <w:bookmarkStart w:id="21" w:name="_Toc84321226"/>
      <w:r w:rsidRPr="003B1196">
        <w:t>2</w:t>
      </w:r>
      <w:r w:rsidRPr="003B1196">
        <w:tab/>
        <w:t>Main Document Requirements</w:t>
      </w:r>
      <w:bookmarkEnd w:id="16"/>
      <w:bookmarkEnd w:id="17"/>
      <w:bookmarkEnd w:id="18"/>
      <w:bookmarkEnd w:id="19"/>
      <w:bookmarkEnd w:id="20"/>
      <w:bookmarkEnd w:id="21"/>
    </w:p>
    <w:p w14:paraId="2FA48832" w14:textId="77777777" w:rsidR="00607896" w:rsidRPr="00694BAA" w:rsidRDefault="00607896" w:rsidP="00607896">
      <w:pPr>
        <w:pStyle w:val="Heading2"/>
        <w:ind w:left="1134" w:hanging="1134"/>
      </w:pPr>
      <w:bookmarkStart w:id="22" w:name="_Toc522191570"/>
      <w:bookmarkStart w:id="23" w:name="_Toc522194965"/>
      <w:bookmarkStart w:id="24" w:name="_Toc522265719"/>
      <w:bookmarkStart w:id="25" w:name="_Toc523221613"/>
      <w:bookmarkStart w:id="26" w:name="_Toc523223511"/>
      <w:bookmarkStart w:id="27" w:name="_Toc84321227"/>
      <w:r>
        <w:t>2.1</w:t>
      </w:r>
      <w:r>
        <w:tab/>
      </w:r>
      <w:bookmarkEnd w:id="22"/>
      <w:bookmarkEnd w:id="23"/>
      <w:bookmarkEnd w:id="24"/>
      <w:bookmarkEnd w:id="25"/>
      <w:bookmarkEnd w:id="26"/>
      <w:r w:rsidR="00BB5E2B">
        <w:t>Key Areas of Information Governance</w:t>
      </w:r>
      <w:bookmarkEnd w:id="27"/>
    </w:p>
    <w:p w14:paraId="5609BD61" w14:textId="77777777" w:rsidR="00607896" w:rsidRPr="00552106" w:rsidRDefault="00607896" w:rsidP="00607896">
      <w:pPr>
        <w:rPr>
          <w:szCs w:val="22"/>
        </w:rPr>
      </w:pPr>
    </w:p>
    <w:p w14:paraId="4EB31C90" w14:textId="77777777" w:rsidR="00607896" w:rsidRDefault="00D84E87" w:rsidP="00D84E87">
      <w:pPr>
        <w:pStyle w:val="Heading3"/>
      </w:pPr>
      <w:bookmarkStart w:id="28" w:name="_Toc84321228"/>
      <w:r>
        <w:t>2.1.1</w:t>
      </w:r>
      <w:r>
        <w:tab/>
        <w:t>Common Law Duty of Confidentiality</w:t>
      </w:r>
      <w:bookmarkEnd w:id="28"/>
    </w:p>
    <w:p w14:paraId="485B907C" w14:textId="77777777" w:rsidR="00D84E87" w:rsidRDefault="00D84E87" w:rsidP="00D84E87">
      <w:r>
        <w:t xml:space="preserve">Patients entrust their personal information to the </w:t>
      </w:r>
      <w:r w:rsidR="00B62CBB">
        <w:t>National Health Service (</w:t>
      </w:r>
      <w:r>
        <w:t>NHS</w:t>
      </w:r>
      <w:r w:rsidR="00B62CBB">
        <w:t>)</w:t>
      </w:r>
      <w:r>
        <w:t xml:space="preserve">, or allow the NHS to gather it, as part of their treatment and care.  They have a legitimate expectation that Trust employees will respect their privacy (confidentiality) and act appropriately.  This expectation also extends to other personal information that the Trust holds, </w:t>
      </w:r>
      <w:proofErr w:type="gramStart"/>
      <w:r>
        <w:t>e.g.</w:t>
      </w:r>
      <w:proofErr w:type="gramEnd"/>
      <w:r>
        <w:t xml:space="preserve"> about its employees.</w:t>
      </w:r>
    </w:p>
    <w:p w14:paraId="7BC2CC85" w14:textId="77777777" w:rsidR="00D84E87" w:rsidRDefault="00D84E87" w:rsidP="00D84E87"/>
    <w:p w14:paraId="7B2D0499" w14:textId="61D1359C" w:rsidR="00D84E87" w:rsidRDefault="00D84E87" w:rsidP="00D84E87">
      <w:r>
        <w:t xml:space="preserve">All employees of the Trust have a duty of </w:t>
      </w:r>
      <w:r w:rsidR="00AF5C26">
        <w:t>confidentiality;</w:t>
      </w:r>
      <w:r>
        <w:t xml:space="preserve"> </w:t>
      </w:r>
      <w:proofErr w:type="gramStart"/>
      <w:r>
        <w:t>therefore</w:t>
      </w:r>
      <w:proofErr w:type="gramEnd"/>
      <w:r>
        <w:t xml:space="preserve"> information must not be accessed or processed unless there is a genuine reason to do so. </w:t>
      </w:r>
    </w:p>
    <w:p w14:paraId="09164C35" w14:textId="77777777" w:rsidR="00D84E87" w:rsidRDefault="00D84E87" w:rsidP="00D84E87"/>
    <w:p w14:paraId="37765303" w14:textId="77777777" w:rsidR="00D84E87" w:rsidRDefault="00D84E87" w:rsidP="00D84E87">
      <w:r>
        <w:t xml:space="preserve">The common law duty of confidentiality extends beyond death and therefore the information of individuals that are deceased must still be treated confidentially. </w:t>
      </w:r>
    </w:p>
    <w:p w14:paraId="515B780D" w14:textId="77777777" w:rsidR="00D84E87" w:rsidRDefault="00D84E87" w:rsidP="00D84E87"/>
    <w:p w14:paraId="3D195C05" w14:textId="03D9BE10" w:rsidR="00D84E87" w:rsidRDefault="00D84E87" w:rsidP="00D84E87">
      <w:r>
        <w:t xml:space="preserve">Article 8 </w:t>
      </w:r>
      <w:r w:rsidR="00AF5C26">
        <w:t>of</w:t>
      </w:r>
      <w:r>
        <w:t xml:space="preserve"> the Human Rights Act </w:t>
      </w:r>
      <w:r w:rsidRPr="00712552">
        <w:t xml:space="preserve">1998 </w:t>
      </w:r>
      <w:r w:rsidR="00F35E50" w:rsidRPr="00712552">
        <w:t xml:space="preserve">(Ref </w:t>
      </w:r>
      <w:r w:rsidR="00BA104C" w:rsidRPr="00712552">
        <w:t>6</w:t>
      </w:r>
      <w:r w:rsidR="00F35E50" w:rsidRPr="00712552">
        <w:t>)</w:t>
      </w:r>
      <w:r w:rsidR="00712552">
        <w:t xml:space="preserve"> </w:t>
      </w:r>
      <w:r>
        <w:t xml:space="preserve">also emphasises confidentiality and states that individuals have the ‘right to privacy and family life’ with no interference. </w:t>
      </w:r>
    </w:p>
    <w:p w14:paraId="10EC08BB" w14:textId="77777777" w:rsidR="00D84E87" w:rsidRDefault="00D84E87" w:rsidP="00D84E87"/>
    <w:p w14:paraId="4A17AA67" w14:textId="77777777" w:rsidR="00D84E87" w:rsidRPr="00D84E87" w:rsidRDefault="00D84E87" w:rsidP="00D84E87">
      <w:r>
        <w:t xml:space="preserve">Confidentiality must form the basis of any decision involving an individual’s personal information.  </w:t>
      </w:r>
    </w:p>
    <w:p w14:paraId="08F0FB4D" w14:textId="77777777" w:rsidR="00D84E87" w:rsidRDefault="00D84E87" w:rsidP="00D84E87">
      <w:pPr>
        <w:pStyle w:val="Heading3"/>
      </w:pPr>
      <w:bookmarkStart w:id="29" w:name="_Toc379448627"/>
      <w:bookmarkStart w:id="30" w:name="_Toc427155041"/>
      <w:bookmarkStart w:id="31" w:name="_Toc522191571"/>
      <w:bookmarkStart w:id="32" w:name="_Toc522194966"/>
      <w:bookmarkStart w:id="33" w:name="_Toc522265720"/>
      <w:bookmarkStart w:id="34" w:name="_Toc523221614"/>
      <w:bookmarkStart w:id="35" w:name="_Toc523223512"/>
    </w:p>
    <w:p w14:paraId="1FE57032" w14:textId="77777777" w:rsidR="00607896" w:rsidRPr="00552106" w:rsidRDefault="00D84E87" w:rsidP="00D84E87">
      <w:pPr>
        <w:pStyle w:val="Heading3"/>
      </w:pPr>
      <w:bookmarkStart w:id="36" w:name="_Toc84321229"/>
      <w:r>
        <w:t>2.1.2</w:t>
      </w:r>
      <w:r>
        <w:tab/>
      </w:r>
      <w:bookmarkEnd w:id="29"/>
      <w:bookmarkEnd w:id="30"/>
      <w:bookmarkEnd w:id="31"/>
      <w:bookmarkEnd w:id="32"/>
      <w:bookmarkEnd w:id="33"/>
      <w:bookmarkEnd w:id="34"/>
      <w:bookmarkEnd w:id="35"/>
      <w:r>
        <w:t>Cal</w:t>
      </w:r>
      <w:r w:rsidR="00297F2A">
        <w:t>d</w:t>
      </w:r>
      <w:r>
        <w:t>icott Principles</w:t>
      </w:r>
      <w:bookmarkEnd w:id="36"/>
    </w:p>
    <w:p w14:paraId="400E02FC" w14:textId="05DBEE33" w:rsidR="00D84E87" w:rsidRPr="00D84E87" w:rsidRDefault="00D84E87" w:rsidP="00D84E87">
      <w:pPr>
        <w:rPr>
          <w:szCs w:val="22"/>
        </w:rPr>
      </w:pPr>
      <w:r w:rsidRPr="00D84E87">
        <w:rPr>
          <w:szCs w:val="22"/>
        </w:rPr>
        <w:t xml:space="preserve">The Caldicott Principles are a set of </w:t>
      </w:r>
      <w:r w:rsidR="00D230BA">
        <w:rPr>
          <w:szCs w:val="22"/>
        </w:rPr>
        <w:t>eight</w:t>
      </w:r>
      <w:r w:rsidR="00D230BA" w:rsidRPr="00D84E87">
        <w:rPr>
          <w:szCs w:val="22"/>
        </w:rPr>
        <w:t xml:space="preserve"> </w:t>
      </w:r>
      <w:r w:rsidRPr="00D84E87">
        <w:rPr>
          <w:szCs w:val="22"/>
        </w:rPr>
        <w:t>standards created by the National Data Guardian, that must be met when using or sharing information</w:t>
      </w:r>
      <w:r>
        <w:rPr>
          <w:szCs w:val="22"/>
        </w:rPr>
        <w:t>:</w:t>
      </w:r>
      <w:r w:rsidRPr="00D84E87">
        <w:rPr>
          <w:szCs w:val="22"/>
        </w:rPr>
        <w:t xml:space="preserve"> </w:t>
      </w:r>
    </w:p>
    <w:p w14:paraId="749548B2" w14:textId="77777777" w:rsidR="00D84E87" w:rsidRPr="00D84E87" w:rsidRDefault="00D84E87" w:rsidP="00D84E87">
      <w:pPr>
        <w:rPr>
          <w:szCs w:val="22"/>
        </w:rPr>
      </w:pPr>
    </w:p>
    <w:p w14:paraId="1E12DBFD" w14:textId="77777777" w:rsidR="00D84E87" w:rsidRPr="00D84E87" w:rsidRDefault="00D84E87" w:rsidP="00D84E87">
      <w:pPr>
        <w:pStyle w:val="ListParagraph"/>
        <w:numPr>
          <w:ilvl w:val="0"/>
          <w:numId w:val="29"/>
        </w:numPr>
        <w:ind w:left="851" w:hanging="425"/>
        <w:rPr>
          <w:szCs w:val="22"/>
        </w:rPr>
      </w:pPr>
      <w:r w:rsidRPr="00D84E87">
        <w:rPr>
          <w:szCs w:val="22"/>
        </w:rPr>
        <w:t>Principle 1 - Justify the purpose(s) for using confidential information</w:t>
      </w:r>
    </w:p>
    <w:p w14:paraId="548E2E2F" w14:textId="77777777" w:rsidR="00D84E87" w:rsidRPr="00D84E87" w:rsidRDefault="00D84E87" w:rsidP="00D84E87">
      <w:pPr>
        <w:pStyle w:val="ListParagraph"/>
        <w:numPr>
          <w:ilvl w:val="0"/>
          <w:numId w:val="29"/>
        </w:numPr>
        <w:ind w:left="851" w:hanging="425"/>
        <w:rPr>
          <w:szCs w:val="22"/>
        </w:rPr>
      </w:pPr>
      <w:r w:rsidRPr="00D84E87">
        <w:rPr>
          <w:szCs w:val="22"/>
        </w:rPr>
        <w:t xml:space="preserve">Principle 2 - Don't use personal confidential data unless it is </w:t>
      </w:r>
      <w:proofErr w:type="gramStart"/>
      <w:r w:rsidRPr="00D84E87">
        <w:rPr>
          <w:szCs w:val="22"/>
        </w:rPr>
        <w:t xml:space="preserve">absolutely </w:t>
      </w:r>
      <w:r>
        <w:rPr>
          <w:szCs w:val="22"/>
        </w:rPr>
        <w:t>n</w:t>
      </w:r>
      <w:r w:rsidRPr="00D84E87">
        <w:rPr>
          <w:szCs w:val="22"/>
        </w:rPr>
        <w:t>ecessary</w:t>
      </w:r>
      <w:proofErr w:type="gramEnd"/>
    </w:p>
    <w:p w14:paraId="6D8EA088" w14:textId="77777777" w:rsidR="00D84E87" w:rsidRPr="00D84E87" w:rsidRDefault="00D84E87" w:rsidP="00D84E87">
      <w:pPr>
        <w:pStyle w:val="ListParagraph"/>
        <w:numPr>
          <w:ilvl w:val="0"/>
          <w:numId w:val="29"/>
        </w:numPr>
        <w:ind w:left="851" w:hanging="425"/>
        <w:rPr>
          <w:szCs w:val="22"/>
        </w:rPr>
      </w:pPr>
      <w:r w:rsidRPr="00D84E87">
        <w:rPr>
          <w:szCs w:val="22"/>
        </w:rPr>
        <w:t>Principle 3 - Use the minimum necessary personal confidential data</w:t>
      </w:r>
    </w:p>
    <w:p w14:paraId="13B16AFC" w14:textId="77777777" w:rsidR="00D84E87" w:rsidRPr="00D84E87" w:rsidRDefault="00D84E87" w:rsidP="00D84E87">
      <w:pPr>
        <w:pStyle w:val="ListParagraph"/>
        <w:numPr>
          <w:ilvl w:val="0"/>
          <w:numId w:val="29"/>
        </w:numPr>
        <w:ind w:left="851" w:hanging="425"/>
        <w:rPr>
          <w:szCs w:val="22"/>
        </w:rPr>
      </w:pPr>
      <w:r w:rsidRPr="00D84E87">
        <w:rPr>
          <w:szCs w:val="22"/>
        </w:rPr>
        <w:t>Principle 4 - Access to personal confidential data should be on a strict need-to-know basis</w:t>
      </w:r>
    </w:p>
    <w:p w14:paraId="1861F67A" w14:textId="77777777" w:rsidR="00D84E87" w:rsidRPr="00D84E87" w:rsidRDefault="00D84E87" w:rsidP="00D84E87">
      <w:pPr>
        <w:pStyle w:val="ListParagraph"/>
        <w:numPr>
          <w:ilvl w:val="0"/>
          <w:numId w:val="29"/>
        </w:numPr>
        <w:ind w:left="851" w:hanging="425"/>
        <w:rPr>
          <w:szCs w:val="22"/>
        </w:rPr>
      </w:pPr>
      <w:r w:rsidRPr="00D84E87">
        <w:rPr>
          <w:szCs w:val="22"/>
        </w:rPr>
        <w:t>Principle 5 - Everyone with access to personal confidential data should be aware of their responsibilities</w:t>
      </w:r>
    </w:p>
    <w:p w14:paraId="01397141" w14:textId="77777777" w:rsidR="00D84E87" w:rsidRPr="00D84E87" w:rsidRDefault="00D84E87" w:rsidP="00D84E87">
      <w:pPr>
        <w:pStyle w:val="ListParagraph"/>
        <w:numPr>
          <w:ilvl w:val="0"/>
          <w:numId w:val="29"/>
        </w:numPr>
        <w:ind w:left="851" w:hanging="425"/>
        <w:rPr>
          <w:szCs w:val="22"/>
        </w:rPr>
      </w:pPr>
      <w:r w:rsidRPr="00D84E87">
        <w:rPr>
          <w:szCs w:val="22"/>
        </w:rPr>
        <w:t>Principle 6 - Comply with the law</w:t>
      </w:r>
    </w:p>
    <w:p w14:paraId="13BA704E" w14:textId="46427790" w:rsidR="00D84E87" w:rsidRDefault="00D84E87" w:rsidP="00D84E87">
      <w:pPr>
        <w:pStyle w:val="ListParagraph"/>
        <w:numPr>
          <w:ilvl w:val="0"/>
          <w:numId w:val="29"/>
        </w:numPr>
        <w:ind w:left="851" w:hanging="425"/>
        <w:rPr>
          <w:szCs w:val="22"/>
        </w:rPr>
      </w:pPr>
      <w:r w:rsidRPr="00D84E87">
        <w:rPr>
          <w:szCs w:val="22"/>
        </w:rPr>
        <w:t>Principle 7 - The duty to share information can be as important as the duty to protect patient confidentiality</w:t>
      </w:r>
    </w:p>
    <w:p w14:paraId="7EF1A374" w14:textId="5154BFA0" w:rsidR="00D230BA" w:rsidRPr="00D84E87" w:rsidRDefault="00D230BA" w:rsidP="00D84E87">
      <w:pPr>
        <w:pStyle w:val="ListParagraph"/>
        <w:numPr>
          <w:ilvl w:val="0"/>
          <w:numId w:val="29"/>
        </w:numPr>
        <w:ind w:left="851" w:hanging="425"/>
        <w:rPr>
          <w:szCs w:val="22"/>
        </w:rPr>
      </w:pPr>
      <w:r>
        <w:rPr>
          <w:szCs w:val="22"/>
        </w:rPr>
        <w:t>Principle 8 - S</w:t>
      </w:r>
      <w:r w:rsidRPr="00D230BA">
        <w:rPr>
          <w:szCs w:val="22"/>
        </w:rPr>
        <w:t xml:space="preserve">ervice users </w:t>
      </w:r>
      <w:r>
        <w:rPr>
          <w:szCs w:val="22"/>
        </w:rPr>
        <w:t xml:space="preserve">must be informed </w:t>
      </w:r>
      <w:r w:rsidRPr="00D230BA">
        <w:rPr>
          <w:szCs w:val="22"/>
        </w:rPr>
        <w:t>about how their confidential information is used</w:t>
      </w:r>
    </w:p>
    <w:p w14:paraId="727321D2" w14:textId="77777777" w:rsidR="00D84E87" w:rsidRDefault="00D84E87" w:rsidP="00D84E87">
      <w:pPr>
        <w:rPr>
          <w:szCs w:val="22"/>
        </w:rPr>
      </w:pPr>
    </w:p>
    <w:p w14:paraId="45E5778D" w14:textId="614DDBCA" w:rsidR="00607896" w:rsidRPr="00552106" w:rsidRDefault="00D84E87" w:rsidP="00D84E87">
      <w:pPr>
        <w:rPr>
          <w:szCs w:val="22"/>
        </w:rPr>
      </w:pPr>
      <w:r w:rsidRPr="00D84E87">
        <w:rPr>
          <w:szCs w:val="22"/>
        </w:rPr>
        <w:t xml:space="preserve">It is recognised that information is crucial to providing a quality healthcare service. The final </w:t>
      </w:r>
      <w:r w:rsidR="00D230BA">
        <w:rPr>
          <w:szCs w:val="22"/>
        </w:rPr>
        <w:t xml:space="preserve">two </w:t>
      </w:r>
      <w:r w:rsidRPr="00D84E87">
        <w:rPr>
          <w:szCs w:val="22"/>
        </w:rPr>
        <w:t>principle</w:t>
      </w:r>
      <w:r w:rsidR="00D230BA">
        <w:rPr>
          <w:szCs w:val="22"/>
        </w:rPr>
        <w:t>s</w:t>
      </w:r>
      <w:r w:rsidRPr="00D84E87">
        <w:rPr>
          <w:szCs w:val="22"/>
        </w:rPr>
        <w:t xml:space="preserve"> encourage information to be used </w:t>
      </w:r>
      <w:proofErr w:type="gramStart"/>
      <w:r w:rsidRPr="00D84E87">
        <w:rPr>
          <w:szCs w:val="22"/>
        </w:rPr>
        <w:t>as long as</w:t>
      </w:r>
      <w:proofErr w:type="gramEnd"/>
      <w:r w:rsidRPr="00D84E87">
        <w:rPr>
          <w:szCs w:val="22"/>
        </w:rPr>
        <w:t xml:space="preserve"> the other principles have been met and that there is a lawful basis for processing the data within the DPA/GDPR.</w:t>
      </w:r>
    </w:p>
    <w:p w14:paraId="0F284101" w14:textId="77777777" w:rsidR="00297F2A" w:rsidRDefault="00297F2A" w:rsidP="00297F2A">
      <w:pPr>
        <w:pStyle w:val="Heading3"/>
      </w:pPr>
      <w:bookmarkStart w:id="37" w:name="_Toc379448628"/>
      <w:bookmarkStart w:id="38" w:name="_Toc427155042"/>
      <w:bookmarkStart w:id="39" w:name="_Toc522191572"/>
      <w:bookmarkStart w:id="40" w:name="_Toc522194967"/>
      <w:bookmarkStart w:id="41" w:name="_Toc522265721"/>
      <w:bookmarkStart w:id="42" w:name="_Toc523221615"/>
      <w:bookmarkStart w:id="43" w:name="_Toc523223513"/>
    </w:p>
    <w:p w14:paraId="1652829B" w14:textId="45991ADB" w:rsidR="00607896" w:rsidRPr="00552106" w:rsidRDefault="00297F2A" w:rsidP="00297F2A">
      <w:pPr>
        <w:pStyle w:val="Heading3"/>
      </w:pPr>
      <w:bookmarkStart w:id="44" w:name="_Toc84321230"/>
      <w:r>
        <w:t>2.1.3</w:t>
      </w:r>
      <w:r>
        <w:tab/>
      </w:r>
      <w:bookmarkEnd w:id="37"/>
      <w:bookmarkEnd w:id="38"/>
      <w:bookmarkEnd w:id="39"/>
      <w:bookmarkEnd w:id="40"/>
      <w:bookmarkEnd w:id="41"/>
      <w:bookmarkEnd w:id="42"/>
      <w:bookmarkEnd w:id="43"/>
      <w:r>
        <w:t xml:space="preserve">Data Protection Act / </w:t>
      </w:r>
      <w:r w:rsidR="00D230BA">
        <w:t xml:space="preserve">UK </w:t>
      </w:r>
      <w:r>
        <w:t>General Data Protection Regulation</w:t>
      </w:r>
      <w:bookmarkEnd w:id="44"/>
    </w:p>
    <w:p w14:paraId="76693378" w14:textId="479EAA33" w:rsidR="00297F2A" w:rsidRPr="00297F2A" w:rsidRDefault="00297F2A" w:rsidP="00297F2A">
      <w:pPr>
        <w:rPr>
          <w:szCs w:val="22"/>
        </w:rPr>
      </w:pPr>
      <w:r w:rsidRPr="00297F2A">
        <w:rPr>
          <w:szCs w:val="22"/>
        </w:rPr>
        <w:t>The DPA 2018</w:t>
      </w:r>
      <w:r>
        <w:rPr>
          <w:szCs w:val="22"/>
        </w:rPr>
        <w:t xml:space="preserve"> and the </w:t>
      </w:r>
      <w:r w:rsidR="00D230BA">
        <w:rPr>
          <w:szCs w:val="22"/>
        </w:rPr>
        <w:t xml:space="preserve">UK </w:t>
      </w:r>
      <w:r w:rsidRPr="00297F2A">
        <w:rPr>
          <w:szCs w:val="22"/>
        </w:rPr>
        <w:t>GDPR identif</w:t>
      </w:r>
      <w:r>
        <w:rPr>
          <w:szCs w:val="22"/>
        </w:rPr>
        <w:t>y</w:t>
      </w:r>
      <w:r w:rsidRPr="00297F2A">
        <w:rPr>
          <w:szCs w:val="22"/>
        </w:rPr>
        <w:t xml:space="preserve"> six lawful bases for processing information. These are:</w:t>
      </w:r>
    </w:p>
    <w:p w14:paraId="3CE88784" w14:textId="77777777" w:rsidR="00297F2A" w:rsidRDefault="00297F2A" w:rsidP="00297F2A">
      <w:pPr>
        <w:rPr>
          <w:szCs w:val="22"/>
        </w:rPr>
      </w:pPr>
    </w:p>
    <w:p w14:paraId="3FA3B5C9" w14:textId="77777777" w:rsidR="00297F2A" w:rsidRPr="00297F2A" w:rsidRDefault="00297F2A" w:rsidP="00297F2A">
      <w:pPr>
        <w:pStyle w:val="ListParagraph"/>
        <w:numPr>
          <w:ilvl w:val="0"/>
          <w:numId w:val="31"/>
        </w:numPr>
        <w:rPr>
          <w:szCs w:val="22"/>
        </w:rPr>
      </w:pPr>
      <w:r w:rsidRPr="00297F2A">
        <w:rPr>
          <w:szCs w:val="22"/>
        </w:rPr>
        <w:t>Consent</w:t>
      </w:r>
    </w:p>
    <w:p w14:paraId="0681A9E7" w14:textId="77777777" w:rsidR="00297F2A" w:rsidRPr="00297F2A" w:rsidRDefault="00297F2A" w:rsidP="00297F2A">
      <w:pPr>
        <w:pStyle w:val="ListParagraph"/>
        <w:numPr>
          <w:ilvl w:val="0"/>
          <w:numId w:val="31"/>
        </w:numPr>
        <w:rPr>
          <w:szCs w:val="22"/>
        </w:rPr>
      </w:pPr>
      <w:r w:rsidRPr="00297F2A">
        <w:rPr>
          <w:szCs w:val="22"/>
        </w:rPr>
        <w:t>Contract</w:t>
      </w:r>
    </w:p>
    <w:p w14:paraId="375FBA24" w14:textId="77777777" w:rsidR="00297F2A" w:rsidRPr="00297F2A" w:rsidRDefault="00297F2A" w:rsidP="00297F2A">
      <w:pPr>
        <w:pStyle w:val="ListParagraph"/>
        <w:numPr>
          <w:ilvl w:val="0"/>
          <w:numId w:val="31"/>
        </w:numPr>
        <w:rPr>
          <w:szCs w:val="22"/>
        </w:rPr>
      </w:pPr>
      <w:r w:rsidRPr="00297F2A">
        <w:rPr>
          <w:szCs w:val="22"/>
        </w:rPr>
        <w:t xml:space="preserve">Legal obligation </w:t>
      </w:r>
    </w:p>
    <w:p w14:paraId="6E74CBE5" w14:textId="77777777" w:rsidR="00297F2A" w:rsidRPr="00297F2A" w:rsidRDefault="00297F2A" w:rsidP="00297F2A">
      <w:pPr>
        <w:pStyle w:val="ListParagraph"/>
        <w:numPr>
          <w:ilvl w:val="0"/>
          <w:numId w:val="31"/>
        </w:numPr>
        <w:rPr>
          <w:szCs w:val="22"/>
        </w:rPr>
      </w:pPr>
      <w:r w:rsidRPr="00297F2A">
        <w:rPr>
          <w:szCs w:val="22"/>
        </w:rPr>
        <w:t xml:space="preserve">Vital interests </w:t>
      </w:r>
    </w:p>
    <w:p w14:paraId="11BF01B6" w14:textId="77777777" w:rsidR="00297F2A" w:rsidRPr="00297F2A" w:rsidRDefault="00297F2A" w:rsidP="00297F2A">
      <w:pPr>
        <w:pStyle w:val="ListParagraph"/>
        <w:numPr>
          <w:ilvl w:val="0"/>
          <w:numId w:val="31"/>
        </w:numPr>
        <w:rPr>
          <w:szCs w:val="22"/>
        </w:rPr>
      </w:pPr>
      <w:r w:rsidRPr="00297F2A">
        <w:rPr>
          <w:szCs w:val="22"/>
        </w:rPr>
        <w:t xml:space="preserve">Public task </w:t>
      </w:r>
    </w:p>
    <w:p w14:paraId="67B15DC9" w14:textId="77777777" w:rsidR="00297F2A" w:rsidRPr="00297F2A" w:rsidRDefault="00297F2A" w:rsidP="00297F2A">
      <w:pPr>
        <w:pStyle w:val="ListParagraph"/>
        <w:numPr>
          <w:ilvl w:val="0"/>
          <w:numId w:val="31"/>
        </w:numPr>
        <w:rPr>
          <w:szCs w:val="22"/>
        </w:rPr>
      </w:pPr>
      <w:r w:rsidRPr="00297F2A">
        <w:rPr>
          <w:szCs w:val="22"/>
        </w:rPr>
        <w:t xml:space="preserve">Legitimate interests </w:t>
      </w:r>
    </w:p>
    <w:p w14:paraId="1A67CA7A" w14:textId="77777777" w:rsidR="00297F2A" w:rsidRPr="00297F2A" w:rsidRDefault="00297F2A" w:rsidP="00297F2A">
      <w:pPr>
        <w:rPr>
          <w:szCs w:val="22"/>
        </w:rPr>
      </w:pPr>
    </w:p>
    <w:p w14:paraId="1ACF77B9" w14:textId="490B5AE3" w:rsidR="001639C8" w:rsidRDefault="00297F2A" w:rsidP="00297F2A">
      <w:pPr>
        <w:rPr>
          <w:szCs w:val="22"/>
        </w:rPr>
      </w:pPr>
      <w:r w:rsidRPr="00297F2A">
        <w:rPr>
          <w:szCs w:val="22"/>
        </w:rPr>
        <w:t xml:space="preserve">For </w:t>
      </w:r>
      <w:r>
        <w:rPr>
          <w:szCs w:val="22"/>
        </w:rPr>
        <w:t xml:space="preserve">further </w:t>
      </w:r>
      <w:r w:rsidRPr="00297F2A">
        <w:rPr>
          <w:szCs w:val="22"/>
        </w:rPr>
        <w:t xml:space="preserve">information </w:t>
      </w:r>
      <w:r>
        <w:rPr>
          <w:szCs w:val="22"/>
        </w:rPr>
        <w:t>about</w:t>
      </w:r>
      <w:r w:rsidRPr="00297F2A">
        <w:rPr>
          <w:szCs w:val="22"/>
        </w:rPr>
        <w:t xml:space="preserve"> the DPA</w:t>
      </w:r>
      <w:r>
        <w:rPr>
          <w:szCs w:val="22"/>
        </w:rPr>
        <w:t xml:space="preserve"> and the </w:t>
      </w:r>
      <w:r w:rsidR="00D230BA">
        <w:rPr>
          <w:szCs w:val="22"/>
        </w:rPr>
        <w:t xml:space="preserve">UK </w:t>
      </w:r>
      <w:r w:rsidRPr="00297F2A">
        <w:rPr>
          <w:szCs w:val="22"/>
        </w:rPr>
        <w:t xml:space="preserve">GDPR see the </w:t>
      </w:r>
      <w:r>
        <w:rPr>
          <w:szCs w:val="22"/>
        </w:rPr>
        <w:t xml:space="preserve">Trust’s </w:t>
      </w:r>
      <w:r w:rsidRPr="00297F2A">
        <w:rPr>
          <w:szCs w:val="22"/>
        </w:rPr>
        <w:t>Data Protection Policy</w:t>
      </w:r>
      <w:r w:rsidR="004D11F7">
        <w:rPr>
          <w:szCs w:val="22"/>
        </w:rPr>
        <w:t xml:space="preserve"> </w:t>
      </w:r>
      <w:r w:rsidR="00BA104C" w:rsidRPr="00BA104C">
        <w:rPr>
          <w:szCs w:val="22"/>
        </w:rPr>
        <w:t>(Ref 7</w:t>
      </w:r>
      <w:r w:rsidR="004D11F7" w:rsidRPr="00BA104C">
        <w:rPr>
          <w:szCs w:val="22"/>
        </w:rPr>
        <w:t>)</w:t>
      </w:r>
      <w:r w:rsidRPr="00BA104C">
        <w:rPr>
          <w:szCs w:val="22"/>
        </w:rPr>
        <w:t>.</w:t>
      </w:r>
      <w:r w:rsidRPr="00297F2A">
        <w:rPr>
          <w:szCs w:val="22"/>
        </w:rPr>
        <w:t xml:space="preserve"> </w:t>
      </w:r>
      <w:r>
        <w:rPr>
          <w:szCs w:val="22"/>
        </w:rPr>
        <w:t>A</w:t>
      </w:r>
      <w:r w:rsidRPr="00297F2A">
        <w:rPr>
          <w:szCs w:val="22"/>
        </w:rPr>
        <w:t xml:space="preserve">ppendix </w:t>
      </w:r>
      <w:r w:rsidR="00E219D7">
        <w:rPr>
          <w:szCs w:val="22"/>
        </w:rPr>
        <w:t>B</w:t>
      </w:r>
      <w:r w:rsidRPr="00297F2A">
        <w:rPr>
          <w:szCs w:val="22"/>
        </w:rPr>
        <w:t xml:space="preserve"> </w:t>
      </w:r>
      <w:r>
        <w:rPr>
          <w:szCs w:val="22"/>
        </w:rPr>
        <w:t>of this document provides</w:t>
      </w:r>
      <w:r w:rsidRPr="00297F2A">
        <w:rPr>
          <w:szCs w:val="22"/>
        </w:rPr>
        <w:t xml:space="preserve"> guidance on the lawful bases and the rights of data subjects under each one. </w:t>
      </w:r>
      <w:r>
        <w:rPr>
          <w:szCs w:val="22"/>
        </w:rPr>
        <w:t>A</w:t>
      </w:r>
      <w:r w:rsidRPr="00297F2A">
        <w:rPr>
          <w:szCs w:val="22"/>
        </w:rPr>
        <w:t xml:space="preserve">ppendix </w:t>
      </w:r>
      <w:r w:rsidR="004D11F7">
        <w:rPr>
          <w:szCs w:val="22"/>
        </w:rPr>
        <w:t>C</w:t>
      </w:r>
      <w:r w:rsidRPr="00297F2A">
        <w:rPr>
          <w:szCs w:val="22"/>
        </w:rPr>
        <w:t xml:space="preserve"> </w:t>
      </w:r>
      <w:r>
        <w:rPr>
          <w:szCs w:val="22"/>
        </w:rPr>
        <w:t>of this document</w:t>
      </w:r>
      <w:r w:rsidRPr="00297F2A">
        <w:rPr>
          <w:szCs w:val="22"/>
        </w:rPr>
        <w:t xml:space="preserve"> </w:t>
      </w:r>
      <w:r w:rsidR="00EE48C1">
        <w:rPr>
          <w:szCs w:val="22"/>
        </w:rPr>
        <w:t xml:space="preserve">provides </w:t>
      </w:r>
      <w:r w:rsidRPr="00297F2A">
        <w:rPr>
          <w:szCs w:val="22"/>
        </w:rPr>
        <w:t>guidance on what constitutes valid consent and what to do if the data subject</w:t>
      </w:r>
      <w:r>
        <w:rPr>
          <w:szCs w:val="22"/>
        </w:rPr>
        <w:t xml:space="preserve">, the </w:t>
      </w:r>
      <w:r w:rsidR="00E569CB">
        <w:rPr>
          <w:szCs w:val="22"/>
        </w:rPr>
        <w:t>person</w:t>
      </w:r>
      <w:r>
        <w:rPr>
          <w:szCs w:val="22"/>
        </w:rPr>
        <w:t xml:space="preserve"> who</w:t>
      </w:r>
      <w:r w:rsidRPr="00297F2A">
        <w:rPr>
          <w:szCs w:val="22"/>
        </w:rPr>
        <w:t xml:space="preserve"> </w:t>
      </w:r>
      <w:r w:rsidR="00E569CB">
        <w:rPr>
          <w:szCs w:val="22"/>
        </w:rPr>
        <w:t xml:space="preserve">the information relates to, </w:t>
      </w:r>
      <w:r w:rsidRPr="00297F2A">
        <w:rPr>
          <w:szCs w:val="22"/>
        </w:rPr>
        <w:t xml:space="preserve">does not have the capacity to give their consent. </w:t>
      </w:r>
      <w:r w:rsidR="00E569CB">
        <w:rPr>
          <w:szCs w:val="22"/>
        </w:rPr>
        <w:t>A</w:t>
      </w:r>
      <w:r w:rsidRPr="00297F2A">
        <w:rPr>
          <w:szCs w:val="22"/>
        </w:rPr>
        <w:t xml:space="preserve">ppendix </w:t>
      </w:r>
      <w:r w:rsidR="004D11F7">
        <w:rPr>
          <w:szCs w:val="22"/>
        </w:rPr>
        <w:t>D</w:t>
      </w:r>
      <w:r w:rsidRPr="00297F2A">
        <w:rPr>
          <w:szCs w:val="22"/>
        </w:rPr>
        <w:t xml:space="preserve"> </w:t>
      </w:r>
      <w:r w:rsidR="00E569CB">
        <w:rPr>
          <w:szCs w:val="22"/>
        </w:rPr>
        <w:t>of this document</w:t>
      </w:r>
      <w:r w:rsidRPr="00297F2A">
        <w:rPr>
          <w:szCs w:val="22"/>
        </w:rPr>
        <w:t xml:space="preserve"> </w:t>
      </w:r>
      <w:r w:rsidR="00EE48C1">
        <w:rPr>
          <w:szCs w:val="22"/>
        </w:rPr>
        <w:t xml:space="preserve">gives </w:t>
      </w:r>
      <w:r w:rsidRPr="00297F2A">
        <w:rPr>
          <w:szCs w:val="22"/>
        </w:rPr>
        <w:t xml:space="preserve">examples of </w:t>
      </w:r>
      <w:r w:rsidR="00E569CB">
        <w:rPr>
          <w:szCs w:val="22"/>
        </w:rPr>
        <w:t>i</w:t>
      </w:r>
      <w:r w:rsidRPr="00297F2A">
        <w:rPr>
          <w:szCs w:val="22"/>
        </w:rPr>
        <w:t>nformation</w:t>
      </w:r>
      <w:r w:rsidR="00E569CB">
        <w:rPr>
          <w:szCs w:val="22"/>
        </w:rPr>
        <w:t xml:space="preserve"> disclosures</w:t>
      </w:r>
      <w:r w:rsidRPr="00297F2A">
        <w:rPr>
          <w:szCs w:val="22"/>
        </w:rPr>
        <w:t>.</w:t>
      </w:r>
    </w:p>
    <w:p w14:paraId="2430C009" w14:textId="77777777" w:rsidR="001639C8" w:rsidRDefault="001639C8" w:rsidP="00297F2A">
      <w:pPr>
        <w:rPr>
          <w:szCs w:val="22"/>
        </w:rPr>
      </w:pPr>
    </w:p>
    <w:p w14:paraId="7D43EC36" w14:textId="77777777" w:rsidR="00B04AE2" w:rsidRDefault="001639C8" w:rsidP="001639C8">
      <w:pPr>
        <w:pStyle w:val="Heading3"/>
      </w:pPr>
      <w:bookmarkStart w:id="45" w:name="_Toc84321231"/>
      <w:r>
        <w:t>2.1.4</w:t>
      </w:r>
      <w:r>
        <w:tab/>
        <w:t>Freedom of Information</w:t>
      </w:r>
      <w:bookmarkEnd w:id="45"/>
    </w:p>
    <w:p w14:paraId="31C9D6BE" w14:textId="77777777" w:rsidR="001639C8" w:rsidRDefault="001639C8" w:rsidP="001639C8">
      <w:r>
        <w:t>Under the Freedom of Information Act 2000 (FOI)</w:t>
      </w:r>
      <w:r w:rsidR="00BA104C">
        <w:t xml:space="preserve"> (Ref 5)</w:t>
      </w:r>
      <w:r>
        <w:t xml:space="preserve"> and the Environmental Information Regulations </w:t>
      </w:r>
      <w:r w:rsidR="00B62CBB">
        <w:t>2017</w:t>
      </w:r>
      <w:r>
        <w:t xml:space="preserve"> (</w:t>
      </w:r>
      <w:r w:rsidR="00BA104C">
        <w:t xml:space="preserve">Ref </w:t>
      </w:r>
      <w:r w:rsidR="00BA104C" w:rsidRPr="00BA104C">
        <w:t>8</w:t>
      </w:r>
      <w:r w:rsidR="00BA104C">
        <w:t>)</w:t>
      </w:r>
      <w:r>
        <w:t xml:space="preserve"> anyone can request information from a public authority.  The Trust, as a public authority has a duty to respond to these requests within statutory timeframes. There are some exemptions to information being provided, for example, </w:t>
      </w:r>
      <w:r w:rsidRPr="00BA104C">
        <w:t xml:space="preserve">section 40 of the FOI Act </w:t>
      </w:r>
      <w:r w:rsidR="00BA104C" w:rsidRPr="00BA104C">
        <w:t>2000 (Ref 5)</w:t>
      </w:r>
      <w:r>
        <w:t xml:space="preserve"> states that personal information is exempt from disclosure. For further information please refer to the Freedom of Information Requests </w:t>
      </w:r>
      <w:r w:rsidRPr="00BA104C">
        <w:t>Procedure</w:t>
      </w:r>
      <w:r w:rsidR="004D11F7" w:rsidRPr="00BA104C">
        <w:t xml:space="preserve"> (</w:t>
      </w:r>
      <w:r w:rsidR="00BA104C" w:rsidRPr="00BA104C">
        <w:t>Ref 9</w:t>
      </w:r>
      <w:r w:rsidR="004D11F7" w:rsidRPr="00BA104C">
        <w:t>)</w:t>
      </w:r>
      <w:r w:rsidRPr="00BA104C">
        <w:t>.</w:t>
      </w:r>
    </w:p>
    <w:p w14:paraId="27400C12" w14:textId="77777777" w:rsidR="004D11F7" w:rsidRDefault="004D11F7" w:rsidP="001639C8"/>
    <w:p w14:paraId="5F1BC83B" w14:textId="77777777" w:rsidR="002353CE" w:rsidRDefault="002353CE" w:rsidP="002353CE">
      <w:pPr>
        <w:pStyle w:val="Heading3"/>
      </w:pPr>
      <w:bookmarkStart w:id="46" w:name="_Toc84321232"/>
      <w:r>
        <w:t>2.1.5</w:t>
      </w:r>
      <w:r>
        <w:tab/>
        <w:t>Information Security</w:t>
      </w:r>
      <w:bookmarkEnd w:id="46"/>
    </w:p>
    <w:p w14:paraId="47DD7A64" w14:textId="77777777" w:rsidR="002353CE" w:rsidRDefault="002353CE" w:rsidP="002353CE">
      <w:r>
        <w:t xml:space="preserve">Security of information is paramount to protect the privacy of the Trust’s patients and employees, </w:t>
      </w:r>
      <w:r w:rsidR="00B62CBB">
        <w:t>and to</w:t>
      </w:r>
      <w:r>
        <w:t xml:space="preserve"> ensure that the Trust can efficiently perform its duties as a healthcare provider. </w:t>
      </w:r>
    </w:p>
    <w:p w14:paraId="16AD2AF1" w14:textId="77777777" w:rsidR="002353CE" w:rsidRDefault="002353CE" w:rsidP="002353CE"/>
    <w:p w14:paraId="0C552683" w14:textId="02F5B63E" w:rsidR="002353CE" w:rsidRDefault="002353CE" w:rsidP="002353CE">
      <w:r>
        <w:t xml:space="preserve">Please refer to the Code of Best Practice at Appendix </w:t>
      </w:r>
      <w:r w:rsidR="00B2533E">
        <w:t>F</w:t>
      </w:r>
      <w:r>
        <w:t xml:space="preserve"> for guidance on how to manage Information Governance responsibilities.</w:t>
      </w:r>
      <w:r w:rsidR="00064C7B">
        <w:t xml:space="preserve"> Please also refer to the relevant healthcare regulators guidance, for example the </w:t>
      </w:r>
      <w:r w:rsidR="00CF26DC">
        <w:t>General Medical Council (</w:t>
      </w:r>
      <w:r w:rsidR="00064C7B" w:rsidRPr="00CF26DC">
        <w:t>GMC</w:t>
      </w:r>
      <w:r w:rsidR="00CF26DC">
        <w:t>)</w:t>
      </w:r>
      <w:r w:rsidR="00064C7B">
        <w:t xml:space="preserve"> Codes of Conduct, Ethics and Confidentiality. </w:t>
      </w:r>
    </w:p>
    <w:p w14:paraId="39B32397" w14:textId="77777777" w:rsidR="002353CE" w:rsidRDefault="002353CE" w:rsidP="002353CE"/>
    <w:p w14:paraId="286933F2" w14:textId="02204E1F" w:rsidR="002353CE" w:rsidRDefault="002353CE" w:rsidP="002353CE">
      <w:r>
        <w:t>All employees</w:t>
      </w:r>
      <w:r w:rsidR="00D230BA">
        <w:t>, including temporary staff and volunteers,</w:t>
      </w:r>
      <w:r>
        <w:t xml:space="preserve"> are responsible for ensuring that breaches of confidentiality or of information security </w:t>
      </w:r>
      <w:r w:rsidR="008517CD">
        <w:t xml:space="preserve">do not </w:t>
      </w:r>
      <w:r>
        <w:t xml:space="preserve">result from their actions. The ICO </w:t>
      </w:r>
      <w:proofErr w:type="gramStart"/>
      <w:r>
        <w:t>has the ability to</w:t>
      </w:r>
      <w:proofErr w:type="gramEnd"/>
      <w:r>
        <w:t xml:space="preserve"> take action against the Trust, or if the breach was deliberate or seriously negligent, against individuals. Breaches such as inappropriate access or disclosure may result in </w:t>
      </w:r>
      <w:r w:rsidR="00064C7B">
        <w:t xml:space="preserve">disciplinary action, </w:t>
      </w:r>
      <w:r>
        <w:t>a criminal prosecution and</w:t>
      </w:r>
      <w:r w:rsidR="00064C7B">
        <w:t>/or</w:t>
      </w:r>
      <w:r>
        <w:t xml:space="preserve"> a fine.</w:t>
      </w:r>
      <w:r w:rsidR="00064C7B">
        <w:t xml:space="preserve"> Individuals may also be referred to their healthcare regulator if it is deemed that their fitness to practise may be impaired. </w:t>
      </w:r>
    </w:p>
    <w:p w14:paraId="66FA8774" w14:textId="77777777" w:rsidR="002353CE" w:rsidRDefault="002353CE" w:rsidP="002353CE"/>
    <w:p w14:paraId="342B645A" w14:textId="77777777" w:rsidR="002353CE" w:rsidRDefault="002353CE" w:rsidP="002353CE">
      <w:r>
        <w:t>Any breach, or suspected breach of confidentiality must be reported on an incident report form, and the Information Governance</w:t>
      </w:r>
      <w:r w:rsidR="008517CD">
        <w:t xml:space="preserve"> (IG)</w:t>
      </w:r>
      <w:r>
        <w:t xml:space="preserve"> team should be informed.  Further information is available in the Trust’s </w:t>
      </w:r>
      <w:r w:rsidR="004D11F7">
        <w:t>Data</w:t>
      </w:r>
      <w:r>
        <w:t xml:space="preserve"> Security &amp; Protection Incident Reporting </w:t>
      </w:r>
      <w:r w:rsidRPr="00BA104C">
        <w:t>Procedure</w:t>
      </w:r>
      <w:r w:rsidR="004D11F7" w:rsidRPr="00BA104C">
        <w:t xml:space="preserve"> (Ref </w:t>
      </w:r>
      <w:r w:rsidR="00BA104C" w:rsidRPr="00BA104C">
        <w:t>10</w:t>
      </w:r>
      <w:r w:rsidR="004D11F7" w:rsidRPr="00BA104C">
        <w:t>)</w:t>
      </w:r>
      <w:r w:rsidRPr="00BA104C">
        <w:t>. Learning</w:t>
      </w:r>
      <w:r>
        <w:t xml:space="preserve"> from incidents must be shared with the relevant teams or individuals and actions agreed to prevent the incident from happening again.</w:t>
      </w:r>
    </w:p>
    <w:p w14:paraId="7FB5AA28" w14:textId="77777777" w:rsidR="002353CE" w:rsidRDefault="002353CE" w:rsidP="002353CE"/>
    <w:p w14:paraId="774DBC16" w14:textId="77777777" w:rsidR="002353CE" w:rsidRPr="002353CE" w:rsidRDefault="002353CE" w:rsidP="002353CE">
      <w:pPr>
        <w:pStyle w:val="Heading3"/>
      </w:pPr>
      <w:bookmarkStart w:id="47" w:name="_Toc84321233"/>
      <w:r>
        <w:t>2.1.6</w:t>
      </w:r>
      <w:r>
        <w:tab/>
        <w:t>Records Management</w:t>
      </w:r>
      <w:bookmarkEnd w:id="47"/>
    </w:p>
    <w:p w14:paraId="7C35860F" w14:textId="77777777" w:rsidR="000435EF" w:rsidRDefault="000435EF" w:rsidP="000435EF">
      <w:r>
        <w:t xml:space="preserve">The Trust complies with the 12 generic record keeping </w:t>
      </w:r>
      <w:r w:rsidR="002353CE">
        <w:t xml:space="preserve">standards </w:t>
      </w:r>
      <w:r>
        <w:t>approved by the Academy of Medical Royal Colleges. These are listed in the Trust’s Clinical Record Keeping Policy</w:t>
      </w:r>
      <w:r w:rsidR="004D11F7">
        <w:t xml:space="preserve"> </w:t>
      </w:r>
      <w:r w:rsidR="004D11F7" w:rsidRPr="00BA104C">
        <w:t xml:space="preserve">(Ref </w:t>
      </w:r>
      <w:r w:rsidR="00BA104C" w:rsidRPr="00BA104C">
        <w:t>11</w:t>
      </w:r>
      <w:r w:rsidR="004D11F7" w:rsidRPr="00BA104C">
        <w:t>)</w:t>
      </w:r>
      <w:r w:rsidRPr="00BA104C">
        <w:t>.</w:t>
      </w:r>
      <w:r>
        <w:t xml:space="preserve"> </w:t>
      </w:r>
    </w:p>
    <w:p w14:paraId="2C64E736" w14:textId="77777777" w:rsidR="002353CE" w:rsidRDefault="002353CE" w:rsidP="002353CE"/>
    <w:p w14:paraId="3606BC8A" w14:textId="275D248B" w:rsidR="000435EF" w:rsidRDefault="002353CE" w:rsidP="000435EF">
      <w:r>
        <w:lastRenderedPageBreak/>
        <w:t xml:space="preserve">Retention periods for all types of records are listed in the Records Management Code of Practice </w:t>
      </w:r>
      <w:r w:rsidR="00641412">
        <w:t>2021</w:t>
      </w:r>
      <w:r>
        <w:t xml:space="preserve"> </w:t>
      </w:r>
      <w:r w:rsidRPr="00BA104C">
        <w:t xml:space="preserve">(Ref. </w:t>
      </w:r>
      <w:r w:rsidR="00BA104C" w:rsidRPr="00BA104C">
        <w:t>12</w:t>
      </w:r>
      <w:r w:rsidRPr="00BA104C">
        <w:t>).</w:t>
      </w:r>
      <w:r>
        <w:t xml:space="preserve">  This list is also available on the Trust</w:t>
      </w:r>
      <w:r w:rsidR="008517CD">
        <w:t>’s</w:t>
      </w:r>
      <w:r>
        <w:t xml:space="preserve"> intranet</w:t>
      </w:r>
      <w:r w:rsidR="008517CD">
        <w:t xml:space="preserve"> site</w:t>
      </w:r>
      <w:r>
        <w:t>.</w:t>
      </w:r>
      <w:r w:rsidR="000435EF">
        <w:t xml:space="preserve"> </w:t>
      </w:r>
      <w:bookmarkStart w:id="48" w:name="_Toc427155049"/>
      <w:bookmarkStart w:id="49" w:name="_Toc522191573"/>
      <w:bookmarkStart w:id="50" w:name="_Toc522194968"/>
      <w:bookmarkStart w:id="51" w:name="_Toc522265722"/>
      <w:bookmarkStart w:id="52" w:name="_Toc523221616"/>
      <w:bookmarkStart w:id="53" w:name="_Toc523223514"/>
      <w:r w:rsidR="000435EF">
        <w:t>Further information about records retention and disposal may be found in the Trust’s Retention of Records Policy.</w:t>
      </w:r>
      <w:r w:rsidR="00BA104C">
        <w:t xml:space="preserve"> (Ref 13)</w:t>
      </w:r>
    </w:p>
    <w:p w14:paraId="3B7BBD45" w14:textId="77777777" w:rsidR="000435EF" w:rsidRDefault="000435EF" w:rsidP="000435EF">
      <w:pPr>
        <w:pStyle w:val="Heading2"/>
        <w:spacing w:after="200"/>
        <w:ind w:left="1134" w:hanging="1134"/>
      </w:pPr>
      <w:bookmarkStart w:id="54" w:name="_Toc84321234"/>
      <w:r>
        <w:t>2.2</w:t>
      </w:r>
      <w:r>
        <w:tab/>
        <w:t>Compliance and Assurance Work Programmes</w:t>
      </w:r>
      <w:bookmarkEnd w:id="54"/>
    </w:p>
    <w:p w14:paraId="1518D051" w14:textId="640A35FE" w:rsidR="000435EF" w:rsidRDefault="000435EF" w:rsidP="000435EF">
      <w:r>
        <w:t>Each year, the Trust must complete the Data Security and Protection Toolkit (</w:t>
      </w:r>
      <w:r w:rsidRPr="00BA104C">
        <w:t xml:space="preserve">DSPT) </w:t>
      </w:r>
      <w:r w:rsidR="008517CD">
        <w:t>[</w:t>
      </w:r>
      <w:r w:rsidR="004D11F7" w:rsidRPr="00BA104C">
        <w:t xml:space="preserve">Ref </w:t>
      </w:r>
      <w:r w:rsidR="00BA104C">
        <w:t>14</w:t>
      </w:r>
      <w:r w:rsidR="008517CD">
        <w:t>] which is managed</w:t>
      </w:r>
      <w:r w:rsidR="004D11F7" w:rsidRPr="00BA104C">
        <w:t xml:space="preserve"> </w:t>
      </w:r>
      <w:r w:rsidRPr="00BA104C">
        <w:t>by</w:t>
      </w:r>
      <w:r>
        <w:t xml:space="preserve"> NHS Digital</w:t>
      </w:r>
      <w:r w:rsidR="008517CD">
        <w:t>. The DSPT</w:t>
      </w:r>
      <w:r>
        <w:t xml:space="preserve"> assesses compliance with information governance standards throughout the year.</w:t>
      </w:r>
      <w:r w:rsidR="00641412">
        <w:t xml:space="preserve"> The DSPT submission is subject to an internal audit for assurance purposes. </w:t>
      </w:r>
    </w:p>
    <w:p w14:paraId="73FC7B81" w14:textId="77777777" w:rsidR="000435EF" w:rsidRDefault="000435EF" w:rsidP="000435EF">
      <w:pPr>
        <w:rPr>
          <w:rFonts w:cs="Arial"/>
        </w:rPr>
      </w:pPr>
    </w:p>
    <w:p w14:paraId="381AFA07" w14:textId="77777777" w:rsidR="000435EF" w:rsidRDefault="00801E1F" w:rsidP="00801E1F">
      <w:pPr>
        <w:pStyle w:val="Heading2"/>
        <w:spacing w:after="200"/>
        <w:ind w:left="1134" w:hanging="1134"/>
        <w:rPr>
          <w:rFonts w:cs="Arial"/>
        </w:rPr>
      </w:pPr>
      <w:bookmarkStart w:id="55" w:name="_Toc84321235"/>
      <w:r>
        <w:rPr>
          <w:rFonts w:cs="Arial"/>
        </w:rPr>
        <w:t>2.3</w:t>
      </w:r>
      <w:r>
        <w:rPr>
          <w:rFonts w:cs="Arial"/>
        </w:rPr>
        <w:tab/>
        <w:t>Employee Training</w:t>
      </w:r>
      <w:bookmarkEnd w:id="55"/>
    </w:p>
    <w:p w14:paraId="7DF6A340" w14:textId="3B4FAEEF" w:rsidR="00801E1F" w:rsidRDefault="00801E1F" w:rsidP="00801E1F">
      <w:pPr>
        <w:rPr>
          <w:rFonts w:cs="Arial"/>
        </w:rPr>
      </w:pPr>
      <w:r>
        <w:rPr>
          <w:rFonts w:cs="Arial"/>
        </w:rPr>
        <w:t>All employees of</w:t>
      </w:r>
      <w:r w:rsidRPr="00801E1F">
        <w:rPr>
          <w:rFonts w:cs="Arial"/>
        </w:rPr>
        <w:t xml:space="preserve"> the Trust must complete </w:t>
      </w:r>
      <w:r w:rsidR="008517CD">
        <w:rPr>
          <w:rFonts w:cs="Arial"/>
        </w:rPr>
        <w:t xml:space="preserve">training in </w:t>
      </w:r>
      <w:r w:rsidRPr="00801E1F">
        <w:rPr>
          <w:rFonts w:cs="Arial"/>
        </w:rPr>
        <w:t xml:space="preserve">information governance </w:t>
      </w:r>
      <w:r w:rsidR="008517CD">
        <w:rPr>
          <w:rFonts w:cs="Arial"/>
        </w:rPr>
        <w:t>at least annually</w:t>
      </w:r>
      <w:r w:rsidRPr="00801E1F">
        <w:rPr>
          <w:rFonts w:cs="Arial"/>
        </w:rPr>
        <w:t xml:space="preserve">. An introductory module </w:t>
      </w:r>
      <w:r>
        <w:rPr>
          <w:rFonts w:cs="Arial"/>
        </w:rPr>
        <w:t xml:space="preserve">is </w:t>
      </w:r>
      <w:r w:rsidRPr="00801E1F">
        <w:rPr>
          <w:rFonts w:cs="Arial"/>
        </w:rPr>
        <w:t>complete</w:t>
      </w:r>
      <w:r>
        <w:rPr>
          <w:rFonts w:cs="Arial"/>
        </w:rPr>
        <w:t>d</w:t>
      </w:r>
      <w:r w:rsidRPr="00801E1F">
        <w:rPr>
          <w:rFonts w:cs="Arial"/>
        </w:rPr>
        <w:t xml:space="preserve"> on-line, in the first year</w:t>
      </w:r>
      <w:r w:rsidR="008517CD">
        <w:rPr>
          <w:rFonts w:cs="Arial"/>
        </w:rPr>
        <w:t xml:space="preserve"> of employment with the Trust</w:t>
      </w:r>
      <w:r w:rsidRPr="00801E1F">
        <w:rPr>
          <w:rFonts w:cs="Arial"/>
        </w:rPr>
        <w:t xml:space="preserve"> and refresher training </w:t>
      </w:r>
      <w:r w:rsidR="008517CD">
        <w:rPr>
          <w:rFonts w:cs="Arial"/>
        </w:rPr>
        <w:t xml:space="preserve">is </w:t>
      </w:r>
      <w:r w:rsidRPr="00801E1F">
        <w:rPr>
          <w:rFonts w:cs="Arial"/>
        </w:rPr>
        <w:t>completed in each subsequent year</w:t>
      </w:r>
      <w:r w:rsidR="00641412">
        <w:rPr>
          <w:rFonts w:cs="Arial"/>
        </w:rPr>
        <w:t xml:space="preserve"> – which is recorded based on the DSPT submission dates</w:t>
      </w:r>
      <w:r w:rsidRPr="00801E1F">
        <w:rPr>
          <w:rFonts w:cs="Arial"/>
        </w:rPr>
        <w:t xml:space="preserve">. IG training forms part of an employee’s’ mandatory training and compliance must be recorded on annual performance appraisals. </w:t>
      </w:r>
    </w:p>
    <w:p w14:paraId="79E1BDBD" w14:textId="77777777" w:rsidR="00801E1F" w:rsidRPr="00801E1F" w:rsidRDefault="00801E1F" w:rsidP="00801E1F">
      <w:pPr>
        <w:rPr>
          <w:rFonts w:cs="Arial"/>
        </w:rPr>
      </w:pPr>
    </w:p>
    <w:p w14:paraId="643906A6" w14:textId="2AC1BDA0" w:rsidR="00801E1F" w:rsidRDefault="00801E1F" w:rsidP="00801E1F">
      <w:pPr>
        <w:rPr>
          <w:rFonts w:cs="Arial"/>
        </w:rPr>
      </w:pPr>
      <w:r w:rsidRPr="00801E1F">
        <w:rPr>
          <w:rFonts w:cs="Arial"/>
        </w:rPr>
        <w:t xml:space="preserve">The Academy </w:t>
      </w:r>
      <w:r w:rsidR="00641412">
        <w:rPr>
          <w:rFonts w:cs="Arial"/>
        </w:rPr>
        <w:t>manages</w:t>
      </w:r>
      <w:r w:rsidR="00641412" w:rsidRPr="00801E1F">
        <w:rPr>
          <w:rFonts w:cs="Arial"/>
        </w:rPr>
        <w:t xml:space="preserve"> </w:t>
      </w:r>
      <w:r w:rsidRPr="00801E1F">
        <w:rPr>
          <w:rFonts w:cs="Arial"/>
        </w:rPr>
        <w:t xml:space="preserve">the </w:t>
      </w:r>
      <w:r w:rsidR="00641412">
        <w:rPr>
          <w:rFonts w:cs="Arial"/>
        </w:rPr>
        <w:t>Electronic Staff Record (ESR)</w:t>
      </w:r>
      <w:r w:rsidRPr="00801E1F">
        <w:rPr>
          <w:rFonts w:cs="Arial"/>
        </w:rPr>
        <w:t xml:space="preserve"> system for employees to use and the </w:t>
      </w:r>
      <w:r w:rsidR="008517CD">
        <w:rPr>
          <w:rFonts w:cs="Arial"/>
        </w:rPr>
        <w:t xml:space="preserve">IG </w:t>
      </w:r>
      <w:r w:rsidRPr="00801E1F">
        <w:rPr>
          <w:rFonts w:cs="Arial"/>
        </w:rPr>
        <w:t>training module</w:t>
      </w:r>
      <w:r w:rsidR="008517CD">
        <w:rPr>
          <w:rFonts w:cs="Arial"/>
        </w:rPr>
        <w:t>s have</w:t>
      </w:r>
      <w:r w:rsidRPr="00801E1F">
        <w:rPr>
          <w:rFonts w:cs="Arial"/>
        </w:rPr>
        <w:t xml:space="preserve"> </w:t>
      </w:r>
      <w:r w:rsidR="008517CD">
        <w:rPr>
          <w:rFonts w:cs="Arial"/>
        </w:rPr>
        <w:t xml:space="preserve">also </w:t>
      </w:r>
      <w:r w:rsidRPr="00801E1F">
        <w:rPr>
          <w:rFonts w:cs="Arial"/>
        </w:rPr>
        <w:t xml:space="preserve">been made available on an online platform to </w:t>
      </w:r>
      <w:r>
        <w:rPr>
          <w:rFonts w:cs="Arial"/>
        </w:rPr>
        <w:t>circulate to employees</w:t>
      </w:r>
      <w:r w:rsidRPr="00801E1F">
        <w:rPr>
          <w:rFonts w:cs="Arial"/>
        </w:rPr>
        <w:t xml:space="preserve"> via email</w:t>
      </w:r>
      <w:r w:rsidR="00641412">
        <w:rPr>
          <w:rFonts w:cs="Arial"/>
        </w:rPr>
        <w:t>, which is managed by the IG team</w:t>
      </w:r>
      <w:r w:rsidRPr="00801E1F">
        <w:rPr>
          <w:rFonts w:cs="Arial"/>
        </w:rPr>
        <w:t xml:space="preserve">. </w:t>
      </w:r>
      <w:r w:rsidR="008517CD">
        <w:rPr>
          <w:rFonts w:cs="Arial"/>
        </w:rPr>
        <w:t>In addition to this, b</w:t>
      </w:r>
      <w:r w:rsidRPr="00801E1F">
        <w:rPr>
          <w:rFonts w:cs="Arial"/>
        </w:rPr>
        <w:t xml:space="preserve">ooklets have been created for </w:t>
      </w:r>
      <w:r>
        <w:rPr>
          <w:rFonts w:cs="Arial"/>
        </w:rPr>
        <w:t>employees</w:t>
      </w:r>
      <w:r w:rsidRPr="00801E1F">
        <w:rPr>
          <w:rFonts w:cs="Arial"/>
        </w:rPr>
        <w:t xml:space="preserve"> with little or no computer access. </w:t>
      </w:r>
      <w:r w:rsidR="008517CD">
        <w:rPr>
          <w:rFonts w:cs="Arial"/>
        </w:rPr>
        <w:t>All methods of t</w:t>
      </w:r>
      <w:r w:rsidRPr="00801E1F">
        <w:rPr>
          <w:rFonts w:cs="Arial"/>
        </w:rPr>
        <w:t xml:space="preserve">raining consist of key information and a test of comprehension. A training needs analysis (TNA) has been created to identify role specific training and </w:t>
      </w:r>
      <w:r w:rsidR="00641412">
        <w:rPr>
          <w:rFonts w:cs="Arial"/>
        </w:rPr>
        <w:t xml:space="preserve">is approved annually </w:t>
      </w:r>
      <w:r w:rsidR="00AF5C26">
        <w:rPr>
          <w:rFonts w:cs="Arial"/>
        </w:rPr>
        <w:t>by</w:t>
      </w:r>
      <w:r w:rsidR="00641412">
        <w:rPr>
          <w:rFonts w:cs="Arial"/>
        </w:rPr>
        <w:t xml:space="preserve"> the IG Steering Group</w:t>
      </w:r>
      <w:r w:rsidR="00AF5C26">
        <w:rPr>
          <w:rFonts w:cs="Arial"/>
        </w:rPr>
        <w:t xml:space="preserve"> (IGSG)</w:t>
      </w:r>
      <w:r w:rsidRPr="00BA104C">
        <w:rPr>
          <w:rFonts w:cs="Arial"/>
        </w:rPr>
        <w:t>.</w:t>
      </w:r>
    </w:p>
    <w:p w14:paraId="7AC10C68" w14:textId="77777777" w:rsidR="00801E1F" w:rsidRPr="00801E1F" w:rsidRDefault="00801E1F" w:rsidP="00801E1F">
      <w:pPr>
        <w:rPr>
          <w:rFonts w:cs="Arial"/>
        </w:rPr>
      </w:pPr>
      <w:r w:rsidRPr="00801E1F">
        <w:rPr>
          <w:rFonts w:cs="Arial"/>
        </w:rPr>
        <w:t xml:space="preserve"> </w:t>
      </w:r>
    </w:p>
    <w:p w14:paraId="5B05E685" w14:textId="002ECA7B" w:rsidR="000435EF" w:rsidRDefault="00801E1F" w:rsidP="00801E1F">
      <w:pPr>
        <w:rPr>
          <w:rFonts w:cs="Arial"/>
        </w:rPr>
      </w:pPr>
      <w:r w:rsidRPr="00801E1F">
        <w:rPr>
          <w:rFonts w:cs="Arial"/>
        </w:rPr>
        <w:t xml:space="preserve">There </w:t>
      </w:r>
      <w:r w:rsidR="00FC321E">
        <w:rPr>
          <w:rFonts w:cs="Arial"/>
        </w:rPr>
        <w:t>is a</w:t>
      </w:r>
      <w:r w:rsidRPr="00801E1F">
        <w:rPr>
          <w:rFonts w:cs="Arial"/>
        </w:rPr>
        <w:t xml:space="preserve"> statutory target </w:t>
      </w:r>
      <w:r w:rsidR="00FC321E">
        <w:rPr>
          <w:rFonts w:cs="Arial"/>
        </w:rPr>
        <w:t>of 95% for all employees (including Bank staff and volunteers etc) to complete</w:t>
      </w:r>
      <w:r w:rsidRPr="00801E1F">
        <w:rPr>
          <w:rFonts w:cs="Arial"/>
        </w:rPr>
        <w:t xml:space="preserve"> IG training during the </w:t>
      </w:r>
      <w:r w:rsidR="00641412">
        <w:rPr>
          <w:rFonts w:cs="Arial"/>
        </w:rPr>
        <w:t>DSPT submission</w:t>
      </w:r>
      <w:r w:rsidR="00641412" w:rsidRPr="00801E1F">
        <w:rPr>
          <w:rFonts w:cs="Arial"/>
        </w:rPr>
        <w:t xml:space="preserve"> </w:t>
      </w:r>
      <w:r w:rsidRPr="00801E1F">
        <w:rPr>
          <w:rFonts w:cs="Arial"/>
        </w:rPr>
        <w:t>year</w:t>
      </w:r>
      <w:r w:rsidR="00FC321E">
        <w:rPr>
          <w:rFonts w:cs="Arial"/>
        </w:rPr>
        <w:t>. Co</w:t>
      </w:r>
      <w:r w:rsidRPr="00801E1F">
        <w:rPr>
          <w:rFonts w:cs="Arial"/>
        </w:rPr>
        <w:t xml:space="preserve">mpliance </w:t>
      </w:r>
      <w:r w:rsidR="00FC321E">
        <w:rPr>
          <w:rFonts w:cs="Arial"/>
        </w:rPr>
        <w:t>is</w:t>
      </w:r>
      <w:r w:rsidRPr="00801E1F">
        <w:rPr>
          <w:rFonts w:cs="Arial"/>
        </w:rPr>
        <w:t xml:space="preserve"> monitored by the IG Team and scrutinised by the IG Steering G</w:t>
      </w:r>
      <w:r w:rsidR="00FC321E">
        <w:rPr>
          <w:rFonts w:cs="Arial"/>
        </w:rPr>
        <w:t>roup who review progress on achieving compliance on a Trust-wide basis</w:t>
      </w:r>
      <w:r w:rsidRPr="00801E1F">
        <w:rPr>
          <w:rFonts w:cs="Arial"/>
        </w:rPr>
        <w:t>.</w:t>
      </w:r>
    </w:p>
    <w:p w14:paraId="0C695629" w14:textId="77777777" w:rsidR="000435EF" w:rsidRDefault="00801E1F" w:rsidP="00801E1F">
      <w:pPr>
        <w:pStyle w:val="Heading2"/>
        <w:spacing w:after="200"/>
        <w:ind w:left="1134" w:hanging="1134"/>
        <w:rPr>
          <w:rFonts w:cs="Arial"/>
        </w:rPr>
      </w:pPr>
      <w:bookmarkStart w:id="56" w:name="_Toc84321236"/>
      <w:r>
        <w:rPr>
          <w:rFonts w:cs="Arial"/>
        </w:rPr>
        <w:t xml:space="preserve">2.4 </w:t>
      </w:r>
      <w:r>
        <w:rPr>
          <w:rFonts w:cs="Arial"/>
        </w:rPr>
        <w:tab/>
        <w:t>Pseudonymisation</w:t>
      </w:r>
      <w:bookmarkEnd w:id="56"/>
    </w:p>
    <w:p w14:paraId="401B0E34" w14:textId="77777777" w:rsidR="00801E1F" w:rsidRDefault="00801E1F" w:rsidP="00801E1F">
      <w:r>
        <w:t xml:space="preserve">In accordance with the Data Protection </w:t>
      </w:r>
      <w:r w:rsidR="00FC321E">
        <w:t xml:space="preserve">Act </w:t>
      </w:r>
      <w:r>
        <w:t xml:space="preserve">and </w:t>
      </w:r>
      <w:r w:rsidR="00FC321E">
        <w:t xml:space="preserve">the </w:t>
      </w:r>
      <w:r>
        <w:t xml:space="preserve">Caldicott principles, minimum data should be </w:t>
      </w:r>
      <w:proofErr w:type="gramStart"/>
      <w:r>
        <w:t>used at all times</w:t>
      </w:r>
      <w:proofErr w:type="gramEnd"/>
      <w:r>
        <w:t xml:space="preserve"> and it should only be accessed on a strict need-to-know basis. Therefore, when using information for purposes other than direct healthcare, data should be altered to protect the privacy of the data subject that it relates to. This can be done by anonymising or pseudonymising the data</w:t>
      </w:r>
      <w:r w:rsidR="00EE48C1">
        <w:t>set</w:t>
      </w:r>
      <w:r>
        <w:t xml:space="preserve">. </w:t>
      </w:r>
    </w:p>
    <w:p w14:paraId="68FCBA47" w14:textId="77777777" w:rsidR="00801E1F" w:rsidRDefault="00801E1F" w:rsidP="00801E1F"/>
    <w:p w14:paraId="42832A62" w14:textId="77777777" w:rsidR="00801E1F" w:rsidRDefault="00801E1F" w:rsidP="00801E1F">
      <w:r>
        <w:t xml:space="preserve">Anonymous data has all identifiers removed making it impossible for the data subject to become known or re-identified by any person. </w:t>
      </w:r>
    </w:p>
    <w:p w14:paraId="3CFDBD5B" w14:textId="77777777" w:rsidR="00801E1F" w:rsidRDefault="00801E1F" w:rsidP="00801E1F"/>
    <w:p w14:paraId="5C2A96C3" w14:textId="2B650A31" w:rsidR="00801E1F" w:rsidRPr="00801E1F" w:rsidRDefault="00801E1F" w:rsidP="00801E1F">
      <w:r>
        <w:t xml:space="preserve">There will often be circumstances where the identity of the data subject does not need to be shared, but it may need to be known by Trust employees. In this circumstance the data should be pseudonymised. This is a process which removes </w:t>
      </w:r>
      <w:proofErr w:type="gramStart"/>
      <w:r>
        <w:t>identifiers, but</w:t>
      </w:r>
      <w:proofErr w:type="gramEnd"/>
      <w:r>
        <w:t xml:space="preserve"> retains a unique reference number or code allocated to each data subject. The person pseudonymising the data must store the list of names and numbers securely and not share </w:t>
      </w:r>
      <w:proofErr w:type="gramStart"/>
      <w:r>
        <w:t>it, and</w:t>
      </w:r>
      <w:proofErr w:type="gramEnd"/>
      <w:r>
        <w:t xml:space="preserve"> must keep a record of the key to the identifiers used. The recipient of the pseudonymised data would </w:t>
      </w:r>
      <w:r w:rsidR="00FC321E">
        <w:t xml:space="preserve">therefore </w:t>
      </w:r>
      <w:r>
        <w:t>be unable to identify to</w:t>
      </w:r>
      <w:r w:rsidR="00FC321E">
        <w:t xml:space="preserve"> whom it related to</w:t>
      </w:r>
      <w:r>
        <w:t xml:space="preserve">. However, if the person who shared the data needed to re-identify the </w:t>
      </w:r>
      <w:r w:rsidR="00FC321E">
        <w:t>data subject(s)</w:t>
      </w:r>
      <w:r>
        <w:t xml:space="preserve"> then they </w:t>
      </w:r>
      <w:r w:rsidR="00FC321E">
        <w:t>would be able to</w:t>
      </w:r>
      <w:r>
        <w:t xml:space="preserve"> match the pseudon</w:t>
      </w:r>
      <w:r w:rsidR="00641412">
        <w:t>y</w:t>
      </w:r>
      <w:r>
        <w:t>mised number back to the full details.</w:t>
      </w:r>
      <w:r w:rsidR="00641412">
        <w:t xml:space="preserve"> </w:t>
      </w:r>
      <w:bookmarkStart w:id="57" w:name="_Hlk86761658"/>
      <w:r>
        <w:t>Some systems will be able to produce pseudonymised lists</w:t>
      </w:r>
      <w:r w:rsidR="00F84B20">
        <w:t>, as required, to comply with DSPT standards</w:t>
      </w:r>
      <w:r>
        <w:t>.</w:t>
      </w:r>
      <w:bookmarkEnd w:id="57"/>
    </w:p>
    <w:p w14:paraId="68E69373" w14:textId="77777777" w:rsidR="000435EF" w:rsidRDefault="00801E1F" w:rsidP="00801E1F">
      <w:pPr>
        <w:pStyle w:val="Heading2"/>
        <w:spacing w:after="200"/>
        <w:ind w:left="1134" w:hanging="1134"/>
        <w:rPr>
          <w:rFonts w:cs="Arial"/>
        </w:rPr>
      </w:pPr>
      <w:bookmarkStart w:id="58" w:name="_Toc84321237"/>
      <w:r>
        <w:rPr>
          <w:rFonts w:cs="Arial"/>
        </w:rPr>
        <w:t>2.5</w:t>
      </w:r>
      <w:r>
        <w:rPr>
          <w:rFonts w:cs="Arial"/>
        </w:rPr>
        <w:tab/>
        <w:t>National Data Opt-Out</w:t>
      </w:r>
      <w:bookmarkEnd w:id="58"/>
    </w:p>
    <w:p w14:paraId="70B39018" w14:textId="77777777" w:rsidR="00801E1F" w:rsidRPr="00801E1F" w:rsidRDefault="00801E1F" w:rsidP="00801E1F">
      <w:pPr>
        <w:rPr>
          <w:rFonts w:cs="Arial"/>
        </w:rPr>
      </w:pPr>
      <w:r w:rsidRPr="00801E1F">
        <w:rPr>
          <w:rFonts w:cs="Arial"/>
        </w:rPr>
        <w:t>The national data opt-out was introduced on 25 May 2018, providing a facility for individuals to opt-out from the use of their data for research or planning purposes. This is provided in line with the recommendations of the National Data Guardian in her Review of Data Security, Consent and Opt-</w:t>
      </w:r>
      <w:r w:rsidRPr="00801E1F">
        <w:rPr>
          <w:rFonts w:cs="Arial"/>
        </w:rPr>
        <w:lastRenderedPageBreak/>
        <w:t xml:space="preserve">Outs. Information on the National Data </w:t>
      </w:r>
      <w:proofErr w:type="spellStart"/>
      <w:r w:rsidRPr="00801E1F">
        <w:rPr>
          <w:rFonts w:cs="Arial"/>
        </w:rPr>
        <w:t>Opt</w:t>
      </w:r>
      <w:proofErr w:type="spellEnd"/>
      <w:r w:rsidRPr="00801E1F">
        <w:rPr>
          <w:rFonts w:cs="Arial"/>
        </w:rPr>
        <w:t xml:space="preserve"> Out can be found here: </w:t>
      </w:r>
      <w:hyperlink r:id="rId12" w:history="1">
        <w:r w:rsidRPr="00F30601">
          <w:rPr>
            <w:rStyle w:val="Hyperlink"/>
            <w:rFonts w:cs="Arial"/>
          </w:rPr>
          <w:t>https://www.nhs.uk/your-nhs-data-matters/</w:t>
        </w:r>
      </w:hyperlink>
      <w:r>
        <w:rPr>
          <w:rFonts w:cs="Arial"/>
        </w:rPr>
        <w:t xml:space="preserve">. </w:t>
      </w:r>
    </w:p>
    <w:p w14:paraId="33ABE972" w14:textId="77777777" w:rsidR="00801E1F" w:rsidRDefault="00801E1F" w:rsidP="00801E1F">
      <w:pPr>
        <w:rPr>
          <w:rFonts w:cs="Arial"/>
        </w:rPr>
      </w:pPr>
    </w:p>
    <w:p w14:paraId="652796A6" w14:textId="033D77AD" w:rsidR="00801E1F" w:rsidRPr="00801E1F" w:rsidRDefault="00801E1F" w:rsidP="00801E1F">
      <w:pPr>
        <w:rPr>
          <w:rFonts w:cs="Arial"/>
        </w:rPr>
      </w:pPr>
      <w:r w:rsidRPr="00801E1F">
        <w:rPr>
          <w:rFonts w:cs="Arial"/>
        </w:rPr>
        <w:t xml:space="preserve">NHS Digital holds a list of people who have decided to opt out of their information being used for research and planning purposes. When using confidential information for research and planning purposes, health and care organisations are required to apply national data opt-outs by liaising with NHS Digital who will remove individuals from data sets. </w:t>
      </w:r>
      <w:r w:rsidR="00641412">
        <w:rPr>
          <w:rFonts w:cs="Arial"/>
        </w:rPr>
        <w:t>A flowchart is available at appendix</w:t>
      </w:r>
      <w:r w:rsidR="00B2533E">
        <w:rPr>
          <w:rFonts w:cs="Arial"/>
        </w:rPr>
        <w:t xml:space="preserve"> E. </w:t>
      </w:r>
      <w:r w:rsidR="00641412">
        <w:rPr>
          <w:rFonts w:cs="Arial"/>
        </w:rPr>
        <w:t xml:space="preserve"> </w:t>
      </w:r>
    </w:p>
    <w:p w14:paraId="3ACB4F26" w14:textId="77777777" w:rsidR="00801E1F" w:rsidRPr="00801E1F" w:rsidRDefault="00801E1F" w:rsidP="00801E1F">
      <w:pPr>
        <w:pStyle w:val="Heading2"/>
        <w:spacing w:after="200"/>
        <w:ind w:left="1134" w:hanging="1134"/>
        <w:rPr>
          <w:rFonts w:cs="Arial"/>
        </w:rPr>
      </w:pPr>
      <w:bookmarkStart w:id="59" w:name="_Toc84321238"/>
      <w:r>
        <w:rPr>
          <w:rFonts w:cs="Arial"/>
        </w:rPr>
        <w:t>2.6</w:t>
      </w:r>
      <w:r>
        <w:rPr>
          <w:rFonts w:cs="Arial"/>
        </w:rPr>
        <w:tab/>
      </w:r>
      <w:r w:rsidRPr="00801E1F">
        <w:rPr>
          <w:rFonts w:cs="Arial"/>
        </w:rPr>
        <w:t>Incident Reporting</w:t>
      </w:r>
      <w:bookmarkEnd w:id="59"/>
    </w:p>
    <w:p w14:paraId="24A82D6A" w14:textId="77777777" w:rsidR="00801E1F" w:rsidRPr="00801E1F" w:rsidRDefault="00801E1F" w:rsidP="00801E1F">
      <w:pPr>
        <w:rPr>
          <w:rFonts w:cs="Arial"/>
        </w:rPr>
      </w:pPr>
      <w:r w:rsidRPr="00801E1F">
        <w:rPr>
          <w:rFonts w:cs="Arial"/>
        </w:rPr>
        <w:t xml:space="preserve">If a </w:t>
      </w:r>
      <w:r w:rsidR="00FC321E">
        <w:rPr>
          <w:rFonts w:cs="Arial"/>
        </w:rPr>
        <w:t xml:space="preserve">data </w:t>
      </w:r>
      <w:r w:rsidRPr="00801E1F">
        <w:rPr>
          <w:rFonts w:cs="Arial"/>
        </w:rPr>
        <w:t xml:space="preserve">security </w:t>
      </w:r>
      <w:r w:rsidR="00FC321E">
        <w:rPr>
          <w:rFonts w:cs="Arial"/>
        </w:rPr>
        <w:t xml:space="preserve">and protection </w:t>
      </w:r>
      <w:r w:rsidRPr="00801E1F">
        <w:rPr>
          <w:rFonts w:cs="Arial"/>
        </w:rPr>
        <w:t xml:space="preserve">incident </w:t>
      </w:r>
      <w:proofErr w:type="gramStart"/>
      <w:r w:rsidRPr="00801E1F">
        <w:rPr>
          <w:rFonts w:cs="Arial"/>
        </w:rPr>
        <w:t>occurs</w:t>
      </w:r>
      <w:proofErr w:type="gramEnd"/>
      <w:r w:rsidRPr="00801E1F">
        <w:rPr>
          <w:rFonts w:cs="Arial"/>
        </w:rPr>
        <w:t>, whether accidental or deliberate, this must be reported on the Trust’s Incident Reporting System</w:t>
      </w:r>
      <w:r w:rsidR="00F35E50">
        <w:rPr>
          <w:rFonts w:cs="Arial"/>
        </w:rPr>
        <w:t xml:space="preserve"> (Ref </w:t>
      </w:r>
      <w:r w:rsidR="00BA104C">
        <w:rPr>
          <w:rFonts w:cs="Arial"/>
        </w:rPr>
        <w:t>13</w:t>
      </w:r>
      <w:r w:rsidR="00F35E50">
        <w:rPr>
          <w:rFonts w:cs="Arial"/>
        </w:rPr>
        <w:t>)</w:t>
      </w:r>
      <w:r w:rsidRPr="00801E1F">
        <w:rPr>
          <w:rFonts w:cs="Arial"/>
        </w:rPr>
        <w:t xml:space="preserve">. Reporting </w:t>
      </w:r>
      <w:r w:rsidR="00FC321E">
        <w:rPr>
          <w:rFonts w:cs="Arial"/>
        </w:rPr>
        <w:t xml:space="preserve">these types of </w:t>
      </w:r>
      <w:r w:rsidRPr="00801E1F">
        <w:rPr>
          <w:rFonts w:cs="Arial"/>
        </w:rPr>
        <w:t xml:space="preserve">incident leads to a greater awareness of potential risks or concerns and gives the Trust an opportunity to take action to </w:t>
      </w:r>
      <w:r w:rsidR="00FC321E">
        <w:rPr>
          <w:rFonts w:cs="Arial"/>
        </w:rPr>
        <w:t>prevent</w:t>
      </w:r>
      <w:r w:rsidRPr="00801E1F">
        <w:rPr>
          <w:rFonts w:cs="Arial"/>
        </w:rPr>
        <w:t xml:space="preserve"> incidents </w:t>
      </w:r>
      <w:r w:rsidR="00FC321E">
        <w:rPr>
          <w:rFonts w:cs="Arial"/>
        </w:rPr>
        <w:t>recurring</w:t>
      </w:r>
      <w:r w:rsidRPr="00801E1F">
        <w:rPr>
          <w:rFonts w:cs="Arial"/>
        </w:rPr>
        <w:t xml:space="preserve">. </w:t>
      </w:r>
    </w:p>
    <w:p w14:paraId="62E2EF5B" w14:textId="77777777" w:rsidR="00801E1F" w:rsidRDefault="00801E1F" w:rsidP="00801E1F">
      <w:pPr>
        <w:rPr>
          <w:rFonts w:cs="Arial"/>
        </w:rPr>
      </w:pPr>
    </w:p>
    <w:p w14:paraId="37056A93" w14:textId="77777777" w:rsidR="000435EF" w:rsidRDefault="00801E1F" w:rsidP="00801E1F">
      <w:pPr>
        <w:rPr>
          <w:rFonts w:cs="Arial"/>
        </w:rPr>
      </w:pPr>
      <w:r w:rsidRPr="00801E1F">
        <w:rPr>
          <w:rFonts w:cs="Arial"/>
        </w:rPr>
        <w:t xml:space="preserve">If </w:t>
      </w:r>
      <w:r>
        <w:rPr>
          <w:rFonts w:cs="Arial"/>
        </w:rPr>
        <w:t>an employee</w:t>
      </w:r>
      <w:r w:rsidRPr="00801E1F">
        <w:rPr>
          <w:rFonts w:cs="Arial"/>
        </w:rPr>
        <w:t xml:space="preserve"> become</w:t>
      </w:r>
      <w:r>
        <w:rPr>
          <w:rFonts w:cs="Arial"/>
        </w:rPr>
        <w:t>s</w:t>
      </w:r>
      <w:r w:rsidRPr="00801E1F">
        <w:rPr>
          <w:rFonts w:cs="Arial"/>
        </w:rPr>
        <w:t xml:space="preserve"> aware of a</w:t>
      </w:r>
      <w:r w:rsidR="00FC321E">
        <w:rPr>
          <w:rFonts w:cs="Arial"/>
        </w:rPr>
        <w:t xml:space="preserve"> data security and protection</w:t>
      </w:r>
      <w:r w:rsidRPr="00801E1F">
        <w:rPr>
          <w:rFonts w:cs="Arial"/>
        </w:rPr>
        <w:t xml:space="preserve"> incident, </w:t>
      </w:r>
      <w:r>
        <w:rPr>
          <w:rFonts w:cs="Arial"/>
        </w:rPr>
        <w:t xml:space="preserve">they must </w:t>
      </w:r>
      <w:r w:rsidRPr="00801E1F">
        <w:rPr>
          <w:rFonts w:cs="Arial"/>
        </w:rPr>
        <w:t xml:space="preserve">consult the IG team as soon as possible as serious incidents must be reported to statutory bodies, including the </w:t>
      </w:r>
      <w:r w:rsidR="00FC321E">
        <w:rPr>
          <w:rFonts w:cs="Arial"/>
        </w:rPr>
        <w:t>Information Commissioner’s Office (</w:t>
      </w:r>
      <w:r w:rsidRPr="00801E1F">
        <w:rPr>
          <w:rFonts w:cs="Arial"/>
        </w:rPr>
        <w:t>ICO</w:t>
      </w:r>
      <w:r w:rsidR="00FC321E">
        <w:rPr>
          <w:rFonts w:cs="Arial"/>
        </w:rPr>
        <w:t>)</w:t>
      </w:r>
      <w:r w:rsidRPr="00801E1F">
        <w:rPr>
          <w:rFonts w:cs="Arial"/>
        </w:rPr>
        <w:t>, within 72 hours of the incident occurring.</w:t>
      </w:r>
    </w:p>
    <w:p w14:paraId="65D64E2F" w14:textId="77777777" w:rsidR="004D11F7" w:rsidRDefault="004D11F7" w:rsidP="00801E1F"/>
    <w:p w14:paraId="69825789" w14:textId="77777777" w:rsidR="004D11F7" w:rsidRDefault="004D11F7" w:rsidP="00801E1F">
      <w:pPr>
        <w:rPr>
          <w:rFonts w:cs="Arial"/>
        </w:rPr>
      </w:pPr>
      <w:r>
        <w:t>Further information is available in the Trust’s Data Security &amp; Protection Inc</w:t>
      </w:r>
      <w:r w:rsidR="00BA104C">
        <w:t>ident Reporting Procedure (Ref 10</w:t>
      </w:r>
      <w:r>
        <w:t>).</w:t>
      </w:r>
    </w:p>
    <w:p w14:paraId="48650347" w14:textId="77777777" w:rsidR="004D31AB" w:rsidRDefault="004D31AB">
      <w:pPr>
        <w:overflowPunct/>
        <w:autoSpaceDE/>
        <w:autoSpaceDN/>
        <w:adjustRightInd/>
        <w:spacing w:after="200" w:line="276" w:lineRule="auto"/>
        <w:jc w:val="left"/>
        <w:textAlignment w:val="auto"/>
        <w:rPr>
          <w:rFonts w:cs="Arial"/>
        </w:rPr>
      </w:pPr>
      <w:r>
        <w:rPr>
          <w:rFonts w:cs="Arial"/>
        </w:rPr>
        <w:br w:type="page"/>
      </w:r>
    </w:p>
    <w:p w14:paraId="663B92D5" w14:textId="77777777" w:rsidR="00773920" w:rsidRDefault="00773920" w:rsidP="00801E1F">
      <w:pPr>
        <w:rPr>
          <w:rFonts w:cs="Arial"/>
        </w:rPr>
      </w:pPr>
    </w:p>
    <w:p w14:paraId="167CDFA1" w14:textId="77777777" w:rsidR="00607896" w:rsidRPr="00E00446" w:rsidRDefault="004B03F1" w:rsidP="009D1C49">
      <w:pPr>
        <w:pStyle w:val="Heading1"/>
        <w:ind w:left="1134" w:hanging="1134"/>
      </w:pPr>
      <w:bookmarkStart w:id="60" w:name="_Toc84321239"/>
      <w:r>
        <w:t xml:space="preserve">3 </w:t>
      </w:r>
      <w:r>
        <w:tab/>
      </w:r>
      <w:r w:rsidR="00607896" w:rsidRPr="00E00446">
        <w:t>Monitoring Compliance and Effectiveness of Implementation</w:t>
      </w:r>
      <w:bookmarkEnd w:id="48"/>
      <w:bookmarkEnd w:id="49"/>
      <w:bookmarkEnd w:id="50"/>
      <w:bookmarkEnd w:id="51"/>
      <w:bookmarkEnd w:id="52"/>
      <w:bookmarkEnd w:id="53"/>
      <w:bookmarkEnd w:id="60"/>
    </w:p>
    <w:p w14:paraId="4F9BECB1" w14:textId="77777777" w:rsidR="00BC0072" w:rsidRPr="00BC0072" w:rsidRDefault="00BC0072" w:rsidP="00BC0072">
      <w:pPr>
        <w:rPr>
          <w:rFonts w:cs="Arial"/>
          <w:szCs w:val="22"/>
        </w:rPr>
      </w:pPr>
      <w:r w:rsidRPr="00BC0072">
        <w:rPr>
          <w:rFonts w:cs="Arial"/>
          <w:szCs w:val="22"/>
        </w:rPr>
        <w:t>The arrangements for monitoring compliance are outlined in the table below: -</w:t>
      </w:r>
    </w:p>
    <w:p w14:paraId="2BD42DE6" w14:textId="77777777" w:rsidR="00607896" w:rsidRDefault="00607896" w:rsidP="00607896">
      <w:pPr>
        <w:rPr>
          <w:rFonts w:cs="Arial"/>
          <w:color w:val="000000" w:themeColor="text1"/>
          <w:szCs w:val="22"/>
        </w:rPr>
      </w:pPr>
    </w:p>
    <w:tbl>
      <w:tblPr>
        <w:tblStyle w:val="TableGrid"/>
        <w:tblW w:w="0" w:type="auto"/>
        <w:tblInd w:w="-176" w:type="dxa"/>
        <w:tblLayout w:type="fixed"/>
        <w:tblLook w:val="04A0" w:firstRow="1" w:lastRow="0" w:firstColumn="1" w:lastColumn="0" w:noHBand="0" w:noVBand="1"/>
      </w:tblPr>
      <w:tblGrid>
        <w:gridCol w:w="1702"/>
        <w:gridCol w:w="1537"/>
        <w:gridCol w:w="1789"/>
        <w:gridCol w:w="1507"/>
        <w:gridCol w:w="1814"/>
        <w:gridCol w:w="1965"/>
      </w:tblGrid>
      <w:tr w:rsidR="00111567" w:rsidRPr="00FF26FD" w14:paraId="3A88AF23" w14:textId="77777777" w:rsidTr="001A6D50">
        <w:trPr>
          <w:trHeight w:val="1697"/>
        </w:trPr>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5F1A41B" w14:textId="77777777" w:rsidR="006D1A5C" w:rsidRPr="00FF26FD" w:rsidRDefault="006D1A5C" w:rsidP="00F35E50">
            <w:pPr>
              <w:ind w:left="142"/>
              <w:jc w:val="left"/>
              <w:rPr>
                <w:rFonts w:cs="Arial"/>
                <w:b/>
                <w:szCs w:val="22"/>
              </w:rPr>
            </w:pPr>
            <w:r w:rsidRPr="00FF26FD">
              <w:rPr>
                <w:rFonts w:cs="Arial"/>
                <w:b/>
                <w:szCs w:val="22"/>
              </w:rPr>
              <w:t>Measurable policy objectives</w:t>
            </w:r>
          </w:p>
        </w:tc>
        <w:tc>
          <w:tcPr>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231413B" w14:textId="77777777" w:rsidR="006D1A5C" w:rsidRPr="00FF26FD" w:rsidRDefault="006D1A5C" w:rsidP="00F35E50">
            <w:pPr>
              <w:ind w:left="142"/>
              <w:jc w:val="left"/>
              <w:rPr>
                <w:rFonts w:cs="Arial"/>
                <w:b/>
                <w:szCs w:val="22"/>
              </w:rPr>
            </w:pPr>
            <w:r w:rsidRPr="00FF26FD">
              <w:rPr>
                <w:rFonts w:cs="Arial"/>
                <w:b/>
                <w:szCs w:val="22"/>
              </w:rPr>
              <w:t>Monitoring or audit method</w:t>
            </w:r>
          </w:p>
        </w:tc>
        <w:tc>
          <w:tcPr>
            <w:tcW w:w="17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A0285C" w14:textId="77777777" w:rsidR="006D1A5C" w:rsidRPr="00FF26FD" w:rsidRDefault="006D1A5C" w:rsidP="00F35E50">
            <w:pPr>
              <w:ind w:left="142"/>
              <w:jc w:val="left"/>
              <w:rPr>
                <w:rFonts w:cs="Arial"/>
                <w:b/>
                <w:szCs w:val="22"/>
              </w:rPr>
            </w:pPr>
            <w:r w:rsidRPr="00FF26FD">
              <w:rPr>
                <w:rFonts w:cs="Arial"/>
                <w:b/>
                <w:szCs w:val="22"/>
              </w:rPr>
              <w:t>Monitoring responsibility (individual, group or committee)</w:t>
            </w:r>
          </w:p>
        </w:tc>
        <w:tc>
          <w:tcPr>
            <w:tcW w:w="15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939268A" w14:textId="77777777" w:rsidR="006D1A5C" w:rsidRPr="00FF26FD" w:rsidRDefault="006D1A5C" w:rsidP="00F35E50">
            <w:pPr>
              <w:ind w:left="142"/>
              <w:jc w:val="left"/>
              <w:rPr>
                <w:rFonts w:cs="Arial"/>
                <w:b/>
                <w:szCs w:val="22"/>
              </w:rPr>
            </w:pPr>
            <w:r w:rsidRPr="00FF26FD">
              <w:rPr>
                <w:rFonts w:cs="Arial"/>
                <w:b/>
                <w:szCs w:val="22"/>
              </w:rPr>
              <w:t>Frequency of monitoring</w:t>
            </w:r>
          </w:p>
        </w:tc>
        <w:tc>
          <w:tcPr>
            <w:tcW w:w="18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88632A" w14:textId="77777777" w:rsidR="006D1A5C" w:rsidRPr="00FF26FD" w:rsidRDefault="006D1A5C" w:rsidP="00F35E50">
            <w:pPr>
              <w:ind w:left="142"/>
              <w:jc w:val="left"/>
              <w:rPr>
                <w:rFonts w:cs="Arial"/>
                <w:b/>
                <w:szCs w:val="22"/>
              </w:rPr>
            </w:pPr>
            <w:r w:rsidRPr="00FF26FD">
              <w:rPr>
                <w:rFonts w:cs="Arial"/>
                <w:b/>
                <w:szCs w:val="22"/>
              </w:rPr>
              <w:t>Reporting arrangements (committee or group the monitoring results is presented to)</w:t>
            </w:r>
          </w:p>
        </w:tc>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50EC5F" w14:textId="77777777" w:rsidR="006D1A5C" w:rsidRPr="00FF26FD" w:rsidRDefault="006D1A5C" w:rsidP="00F35E50">
            <w:pPr>
              <w:ind w:left="142"/>
              <w:jc w:val="left"/>
              <w:rPr>
                <w:rFonts w:cs="Arial"/>
                <w:b/>
                <w:szCs w:val="22"/>
              </w:rPr>
            </w:pPr>
            <w:r w:rsidRPr="00FF26FD">
              <w:rPr>
                <w:rFonts w:cs="Arial"/>
                <w:b/>
                <w:szCs w:val="22"/>
              </w:rPr>
              <w:t xml:space="preserve">What action will be </w:t>
            </w:r>
            <w:proofErr w:type="spellStart"/>
            <w:proofErr w:type="gramStart"/>
            <w:r w:rsidRPr="00FF26FD">
              <w:rPr>
                <w:rFonts w:cs="Arial"/>
                <w:b/>
                <w:szCs w:val="22"/>
              </w:rPr>
              <w:t>take</w:t>
            </w:r>
            <w:proofErr w:type="spellEnd"/>
            <w:proofErr w:type="gramEnd"/>
            <w:r w:rsidRPr="00FF26FD">
              <w:rPr>
                <w:rFonts w:cs="Arial"/>
                <w:b/>
                <w:szCs w:val="22"/>
              </w:rPr>
              <w:t xml:space="preserve"> if gaps are identified</w:t>
            </w:r>
          </w:p>
        </w:tc>
      </w:tr>
      <w:tr w:rsidR="00111567" w:rsidRPr="00FF26FD" w14:paraId="5109D12F" w14:textId="77777777" w:rsidTr="001A6D50">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B3A0A7" w14:textId="77777777" w:rsidR="00111567" w:rsidRPr="00FF26FD" w:rsidRDefault="00111567" w:rsidP="00F35E50">
            <w:pPr>
              <w:jc w:val="left"/>
              <w:rPr>
                <w:rFonts w:cs="Arial"/>
                <w:szCs w:val="22"/>
              </w:rPr>
            </w:pPr>
            <w:r>
              <w:rPr>
                <w:rFonts w:cs="Arial"/>
                <w:szCs w:val="22"/>
              </w:rPr>
              <w:t>The number of data security and protection incidents are measured.</w:t>
            </w:r>
          </w:p>
        </w:tc>
        <w:tc>
          <w:tcPr>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6FB0A" w14:textId="77777777" w:rsidR="00111567" w:rsidRPr="00FF26FD" w:rsidRDefault="00111567" w:rsidP="00F35E50">
            <w:pPr>
              <w:jc w:val="left"/>
              <w:rPr>
                <w:rFonts w:cs="Arial"/>
                <w:szCs w:val="22"/>
              </w:rPr>
            </w:pPr>
            <w:r>
              <w:rPr>
                <w:rFonts w:cs="Arial"/>
                <w:szCs w:val="22"/>
              </w:rPr>
              <w:t>In accordance with the Data Security &amp; Reporting Incident Procedure</w:t>
            </w:r>
          </w:p>
        </w:tc>
        <w:tc>
          <w:tcPr>
            <w:tcW w:w="17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97658" w14:textId="77777777" w:rsidR="00111567" w:rsidRPr="00FF26FD" w:rsidRDefault="00111567" w:rsidP="00F35E50">
            <w:pPr>
              <w:jc w:val="left"/>
              <w:rPr>
                <w:rFonts w:cs="Arial"/>
                <w:szCs w:val="22"/>
              </w:rPr>
            </w:pPr>
            <w:r>
              <w:rPr>
                <w:rFonts w:cs="Arial"/>
                <w:szCs w:val="22"/>
              </w:rPr>
              <w:t>IG Team / IG Steering Group</w:t>
            </w:r>
          </w:p>
        </w:tc>
        <w:tc>
          <w:tcPr>
            <w:tcW w:w="15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DBAED" w14:textId="77777777" w:rsidR="00111567" w:rsidRPr="00FF26FD" w:rsidRDefault="00111567" w:rsidP="00F35E50">
            <w:pPr>
              <w:jc w:val="left"/>
              <w:rPr>
                <w:rFonts w:cs="Arial"/>
                <w:szCs w:val="22"/>
              </w:rPr>
            </w:pPr>
            <w:r>
              <w:rPr>
                <w:rFonts w:cs="Arial"/>
                <w:szCs w:val="22"/>
              </w:rPr>
              <w:t>On-going / monthly</w:t>
            </w:r>
          </w:p>
        </w:tc>
        <w:tc>
          <w:tcPr>
            <w:tcW w:w="18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B8EF57" w14:textId="77777777" w:rsidR="00111567" w:rsidRPr="00FF26FD" w:rsidRDefault="00111567" w:rsidP="00F35E50">
            <w:pPr>
              <w:jc w:val="left"/>
              <w:rPr>
                <w:rFonts w:cs="Arial"/>
                <w:szCs w:val="22"/>
              </w:rPr>
            </w:pPr>
            <w:r>
              <w:rPr>
                <w:rFonts w:cs="Arial"/>
                <w:szCs w:val="22"/>
              </w:rPr>
              <w:t>IG Steering Group</w:t>
            </w:r>
          </w:p>
        </w:tc>
        <w:tc>
          <w:tcPr>
            <w:tcW w:w="196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7CC29CE4" w14:textId="77777777" w:rsidR="00111567" w:rsidRPr="00FF26FD" w:rsidRDefault="00111567" w:rsidP="00111567">
            <w:pPr>
              <w:jc w:val="left"/>
              <w:rPr>
                <w:rFonts w:cs="Arial"/>
                <w:szCs w:val="22"/>
              </w:rPr>
            </w:pPr>
            <w:r>
              <w:rPr>
                <w:rFonts w:cs="Arial"/>
                <w:szCs w:val="22"/>
              </w:rPr>
              <w:t>An action plan will be developed by the IG Team who will present this to the IG Steering Group for approval. This will be monitored and will be closed only when all recommendations have been implemented.</w:t>
            </w:r>
          </w:p>
        </w:tc>
      </w:tr>
      <w:tr w:rsidR="00111567" w:rsidRPr="00FF26FD" w14:paraId="6A04483C" w14:textId="77777777" w:rsidTr="001A6D50">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AAE9BF" w14:textId="77777777" w:rsidR="00111567" w:rsidRPr="00111567" w:rsidRDefault="00111567" w:rsidP="00F35E50">
            <w:pPr>
              <w:jc w:val="left"/>
              <w:rPr>
                <w:rFonts w:cs="Arial"/>
                <w:szCs w:val="22"/>
              </w:rPr>
            </w:pPr>
            <w:r w:rsidRPr="00111567">
              <w:rPr>
                <w:rFonts w:cs="Arial"/>
                <w:szCs w:val="22"/>
              </w:rPr>
              <w:t>IG mandatory training reports are monitored</w:t>
            </w:r>
          </w:p>
        </w:tc>
        <w:tc>
          <w:tcPr>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5E68E" w14:textId="77777777" w:rsidR="00111567" w:rsidRPr="00111567" w:rsidRDefault="00111567" w:rsidP="00F35E50">
            <w:pPr>
              <w:jc w:val="left"/>
              <w:rPr>
                <w:rFonts w:cs="Arial"/>
                <w:szCs w:val="22"/>
              </w:rPr>
            </w:pPr>
            <w:r>
              <w:rPr>
                <w:rFonts w:cs="Arial"/>
                <w:szCs w:val="22"/>
              </w:rPr>
              <w:t>Reports produced from on-line training system and other IG training materials.</w:t>
            </w:r>
          </w:p>
        </w:tc>
        <w:tc>
          <w:tcPr>
            <w:tcW w:w="17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FAA8D6" w14:textId="77777777" w:rsidR="00111567" w:rsidRPr="00111567" w:rsidRDefault="00111567" w:rsidP="00111567">
            <w:pPr>
              <w:jc w:val="left"/>
              <w:rPr>
                <w:rFonts w:cs="Arial"/>
                <w:szCs w:val="22"/>
              </w:rPr>
            </w:pPr>
            <w:r>
              <w:rPr>
                <w:rFonts w:cs="Arial"/>
                <w:szCs w:val="22"/>
              </w:rPr>
              <w:t>All Line Managers / IG Team</w:t>
            </w:r>
          </w:p>
        </w:tc>
        <w:tc>
          <w:tcPr>
            <w:tcW w:w="15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BD11D" w14:textId="77777777" w:rsidR="00111567" w:rsidRPr="00111567" w:rsidRDefault="00111567" w:rsidP="00F35E50">
            <w:pPr>
              <w:jc w:val="left"/>
              <w:rPr>
                <w:rFonts w:cs="Arial"/>
                <w:szCs w:val="22"/>
              </w:rPr>
            </w:pPr>
            <w:r>
              <w:rPr>
                <w:rFonts w:cs="Arial"/>
                <w:szCs w:val="22"/>
              </w:rPr>
              <w:t>Monthly</w:t>
            </w:r>
          </w:p>
        </w:tc>
        <w:tc>
          <w:tcPr>
            <w:tcW w:w="18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02284A" w14:textId="77777777" w:rsidR="00111567" w:rsidRPr="00111567" w:rsidRDefault="00111567" w:rsidP="00F35E50">
            <w:pPr>
              <w:jc w:val="left"/>
              <w:rPr>
                <w:rFonts w:cs="Arial"/>
                <w:szCs w:val="22"/>
              </w:rPr>
            </w:pPr>
            <w:r>
              <w:rPr>
                <w:rFonts w:cs="Arial"/>
                <w:szCs w:val="22"/>
              </w:rPr>
              <w:t>IG Steering Group</w:t>
            </w:r>
          </w:p>
        </w:tc>
        <w:tc>
          <w:tcPr>
            <w:tcW w:w="1965" w:type="dxa"/>
            <w:vMerge/>
            <w:tcBorders>
              <w:left w:val="single" w:sz="4" w:space="0" w:color="808080" w:themeColor="background1" w:themeShade="80"/>
              <w:right w:val="single" w:sz="4" w:space="0" w:color="808080" w:themeColor="background1" w:themeShade="80"/>
            </w:tcBorders>
          </w:tcPr>
          <w:p w14:paraId="5BD08828" w14:textId="77777777" w:rsidR="00111567" w:rsidRPr="00111567" w:rsidRDefault="00111567" w:rsidP="00F35E50">
            <w:pPr>
              <w:jc w:val="left"/>
              <w:rPr>
                <w:rFonts w:cs="Arial"/>
                <w:szCs w:val="22"/>
              </w:rPr>
            </w:pPr>
          </w:p>
        </w:tc>
      </w:tr>
      <w:tr w:rsidR="00111567" w:rsidRPr="00FF26FD" w14:paraId="0C14B321" w14:textId="77777777" w:rsidTr="001A6D50">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4209B" w14:textId="77777777" w:rsidR="00111567" w:rsidRPr="00111567" w:rsidRDefault="00111567" w:rsidP="00F35E50">
            <w:pPr>
              <w:jc w:val="left"/>
              <w:rPr>
                <w:rFonts w:cs="Arial"/>
                <w:szCs w:val="22"/>
              </w:rPr>
            </w:pPr>
            <w:r>
              <w:rPr>
                <w:rFonts w:cs="Arial"/>
                <w:szCs w:val="22"/>
              </w:rPr>
              <w:t>Awareness of compliance with key IG requirements</w:t>
            </w:r>
          </w:p>
        </w:tc>
        <w:tc>
          <w:tcPr>
            <w:tcW w:w="15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73A8FC" w14:textId="77777777" w:rsidR="00111567" w:rsidRPr="00111567" w:rsidRDefault="00111567" w:rsidP="00F35E50">
            <w:pPr>
              <w:jc w:val="left"/>
              <w:rPr>
                <w:rFonts w:cs="Arial"/>
                <w:szCs w:val="22"/>
              </w:rPr>
            </w:pPr>
            <w:r>
              <w:rPr>
                <w:rFonts w:cs="Arial"/>
                <w:szCs w:val="22"/>
              </w:rPr>
              <w:t>IG Checklists</w:t>
            </w:r>
          </w:p>
        </w:tc>
        <w:tc>
          <w:tcPr>
            <w:tcW w:w="17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69AC0" w14:textId="77777777" w:rsidR="00111567" w:rsidRPr="00111567" w:rsidRDefault="00111567" w:rsidP="00F35E50">
            <w:pPr>
              <w:jc w:val="left"/>
              <w:rPr>
                <w:rFonts w:cs="Arial"/>
                <w:szCs w:val="22"/>
              </w:rPr>
            </w:pPr>
            <w:r>
              <w:rPr>
                <w:rFonts w:cs="Arial"/>
                <w:szCs w:val="22"/>
              </w:rPr>
              <w:t>Ward and Departmental managers / IG Team</w:t>
            </w:r>
          </w:p>
        </w:tc>
        <w:tc>
          <w:tcPr>
            <w:tcW w:w="15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B6B00" w14:textId="77777777" w:rsidR="00111567" w:rsidRPr="00111567" w:rsidRDefault="00111567" w:rsidP="00F35E50">
            <w:pPr>
              <w:jc w:val="left"/>
              <w:rPr>
                <w:rFonts w:cs="Arial"/>
                <w:szCs w:val="22"/>
              </w:rPr>
            </w:pPr>
            <w:r>
              <w:rPr>
                <w:rFonts w:cs="Arial"/>
                <w:szCs w:val="22"/>
              </w:rPr>
              <w:t>Twice yearly</w:t>
            </w:r>
          </w:p>
        </w:tc>
        <w:tc>
          <w:tcPr>
            <w:tcW w:w="18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14C222" w14:textId="77777777" w:rsidR="00111567" w:rsidRPr="00111567" w:rsidRDefault="00111567" w:rsidP="00F35E50">
            <w:pPr>
              <w:jc w:val="left"/>
              <w:rPr>
                <w:rFonts w:cs="Arial"/>
                <w:szCs w:val="22"/>
              </w:rPr>
            </w:pPr>
            <w:r>
              <w:rPr>
                <w:rFonts w:cs="Arial"/>
                <w:szCs w:val="22"/>
              </w:rPr>
              <w:t>IG Team – summary results reported to IG Steering Group</w:t>
            </w:r>
          </w:p>
        </w:tc>
        <w:tc>
          <w:tcPr>
            <w:tcW w:w="1965" w:type="dxa"/>
            <w:vMerge/>
            <w:tcBorders>
              <w:left w:val="single" w:sz="4" w:space="0" w:color="808080" w:themeColor="background1" w:themeShade="80"/>
              <w:right w:val="single" w:sz="4" w:space="0" w:color="808080" w:themeColor="background1" w:themeShade="80"/>
            </w:tcBorders>
          </w:tcPr>
          <w:p w14:paraId="1B6851BE" w14:textId="77777777" w:rsidR="00111567" w:rsidRPr="00111567" w:rsidRDefault="00111567" w:rsidP="00F35E50">
            <w:pPr>
              <w:jc w:val="left"/>
              <w:rPr>
                <w:rFonts w:cs="Arial"/>
                <w:szCs w:val="22"/>
              </w:rPr>
            </w:pPr>
          </w:p>
        </w:tc>
      </w:tr>
      <w:tr w:rsidR="00111567" w:rsidRPr="00FF26FD" w14:paraId="39F0489C" w14:textId="77777777" w:rsidTr="001A6D50">
        <w:trPr>
          <w:trHeight w:val="77"/>
        </w:trPr>
        <w:tc>
          <w:tcPr>
            <w:tcW w:w="1702" w:type="dxa"/>
            <w:tcBorders>
              <w:top w:val="single" w:sz="4" w:space="0" w:color="808080" w:themeColor="background1" w:themeShade="80"/>
            </w:tcBorders>
          </w:tcPr>
          <w:p w14:paraId="1128A8F2" w14:textId="77777777" w:rsidR="00111567" w:rsidRPr="00111567" w:rsidRDefault="00111567" w:rsidP="00F35E50">
            <w:pPr>
              <w:jc w:val="left"/>
              <w:rPr>
                <w:rFonts w:cs="Arial"/>
                <w:szCs w:val="22"/>
              </w:rPr>
            </w:pPr>
            <w:r>
              <w:rPr>
                <w:rFonts w:cs="Arial"/>
                <w:szCs w:val="22"/>
              </w:rPr>
              <w:t>Caldicott Issues</w:t>
            </w:r>
          </w:p>
        </w:tc>
        <w:tc>
          <w:tcPr>
            <w:tcW w:w="1537" w:type="dxa"/>
            <w:tcBorders>
              <w:top w:val="single" w:sz="4" w:space="0" w:color="808080" w:themeColor="background1" w:themeShade="80"/>
            </w:tcBorders>
          </w:tcPr>
          <w:p w14:paraId="5FE608FB" w14:textId="77777777" w:rsidR="00111567" w:rsidRPr="00111567" w:rsidRDefault="00111567" w:rsidP="00F35E50">
            <w:pPr>
              <w:jc w:val="left"/>
              <w:rPr>
                <w:rFonts w:cs="Arial"/>
                <w:szCs w:val="22"/>
              </w:rPr>
            </w:pPr>
            <w:r>
              <w:rPr>
                <w:rFonts w:cs="Arial"/>
                <w:szCs w:val="22"/>
              </w:rPr>
              <w:t>Reported to the Caldicott Guardian</w:t>
            </w:r>
          </w:p>
        </w:tc>
        <w:tc>
          <w:tcPr>
            <w:tcW w:w="1789" w:type="dxa"/>
            <w:tcBorders>
              <w:top w:val="single" w:sz="4" w:space="0" w:color="808080" w:themeColor="background1" w:themeShade="80"/>
            </w:tcBorders>
          </w:tcPr>
          <w:p w14:paraId="16F36073" w14:textId="77777777" w:rsidR="00111567" w:rsidRPr="00111567" w:rsidRDefault="00111567" w:rsidP="00F35E50">
            <w:pPr>
              <w:jc w:val="left"/>
              <w:rPr>
                <w:rFonts w:cs="Arial"/>
                <w:szCs w:val="22"/>
              </w:rPr>
            </w:pPr>
            <w:r>
              <w:rPr>
                <w:rFonts w:cs="Arial"/>
                <w:szCs w:val="22"/>
              </w:rPr>
              <w:t>All employees</w:t>
            </w:r>
          </w:p>
        </w:tc>
        <w:tc>
          <w:tcPr>
            <w:tcW w:w="1507" w:type="dxa"/>
            <w:tcBorders>
              <w:top w:val="single" w:sz="4" w:space="0" w:color="808080" w:themeColor="background1" w:themeShade="80"/>
            </w:tcBorders>
          </w:tcPr>
          <w:p w14:paraId="11C7D866" w14:textId="77777777" w:rsidR="00111567" w:rsidRPr="00111567" w:rsidRDefault="00111567" w:rsidP="00F35E50">
            <w:pPr>
              <w:jc w:val="left"/>
              <w:rPr>
                <w:rFonts w:cs="Arial"/>
                <w:szCs w:val="22"/>
              </w:rPr>
            </w:pPr>
            <w:r>
              <w:rPr>
                <w:rFonts w:cs="Arial"/>
                <w:szCs w:val="22"/>
              </w:rPr>
              <w:t>On-going</w:t>
            </w:r>
          </w:p>
        </w:tc>
        <w:tc>
          <w:tcPr>
            <w:tcW w:w="1814" w:type="dxa"/>
            <w:tcBorders>
              <w:top w:val="single" w:sz="4" w:space="0" w:color="808080" w:themeColor="background1" w:themeShade="80"/>
              <w:right w:val="single" w:sz="4" w:space="0" w:color="808080" w:themeColor="background1" w:themeShade="80"/>
            </w:tcBorders>
          </w:tcPr>
          <w:p w14:paraId="3AC57282" w14:textId="77777777" w:rsidR="00111567" w:rsidRPr="00111567" w:rsidRDefault="00111567" w:rsidP="00F35E50">
            <w:pPr>
              <w:jc w:val="left"/>
              <w:rPr>
                <w:rFonts w:cs="Arial"/>
                <w:szCs w:val="22"/>
              </w:rPr>
            </w:pPr>
            <w:r>
              <w:rPr>
                <w:rFonts w:cs="Arial"/>
                <w:szCs w:val="22"/>
              </w:rPr>
              <w:t>IG Steering Group</w:t>
            </w:r>
          </w:p>
        </w:tc>
        <w:tc>
          <w:tcPr>
            <w:tcW w:w="1965" w:type="dxa"/>
            <w:vMerge/>
            <w:tcBorders>
              <w:left w:val="single" w:sz="4" w:space="0" w:color="808080" w:themeColor="background1" w:themeShade="80"/>
              <w:right w:val="single" w:sz="4" w:space="0" w:color="808080" w:themeColor="background1" w:themeShade="80"/>
            </w:tcBorders>
          </w:tcPr>
          <w:p w14:paraId="43C6BA92" w14:textId="77777777" w:rsidR="00111567" w:rsidRPr="00111567" w:rsidRDefault="00111567" w:rsidP="00F35E50">
            <w:pPr>
              <w:jc w:val="left"/>
              <w:rPr>
                <w:rFonts w:cs="Arial"/>
                <w:szCs w:val="22"/>
              </w:rPr>
            </w:pPr>
          </w:p>
        </w:tc>
      </w:tr>
    </w:tbl>
    <w:p w14:paraId="521E4CC8" w14:textId="77777777" w:rsidR="006D1A5C" w:rsidRPr="006D1A5C" w:rsidRDefault="006D1A5C" w:rsidP="006D1A5C">
      <w:pPr>
        <w:rPr>
          <w:rFonts w:cs="Arial"/>
          <w:color w:val="4F81BD" w:themeColor="accent1"/>
          <w:szCs w:val="22"/>
        </w:rPr>
      </w:pPr>
    </w:p>
    <w:p w14:paraId="6F7472C3" w14:textId="77777777" w:rsidR="00607896" w:rsidRPr="00E00446" w:rsidRDefault="00607896" w:rsidP="009D1C49">
      <w:pPr>
        <w:pStyle w:val="Heading1"/>
        <w:ind w:left="1134" w:hanging="1134"/>
      </w:pPr>
      <w:bookmarkStart w:id="61" w:name="_Toc297742083"/>
      <w:bookmarkStart w:id="62" w:name="_Toc379448629"/>
      <w:bookmarkStart w:id="63" w:name="_Toc427155043"/>
      <w:bookmarkStart w:id="64" w:name="_Toc522191574"/>
      <w:bookmarkStart w:id="65" w:name="_Toc522194969"/>
      <w:bookmarkStart w:id="66" w:name="_Toc522265723"/>
      <w:bookmarkStart w:id="67" w:name="_Toc523221617"/>
      <w:bookmarkStart w:id="68" w:name="_Toc523223515"/>
      <w:bookmarkStart w:id="69" w:name="_Toc84321240"/>
      <w:r>
        <w:t>4</w:t>
      </w:r>
      <w:r>
        <w:tab/>
      </w:r>
      <w:r w:rsidRPr="00E00446">
        <w:t>Duties and Responsibilities of Individuals and Groups</w:t>
      </w:r>
      <w:bookmarkEnd w:id="61"/>
      <w:bookmarkEnd w:id="62"/>
      <w:bookmarkEnd w:id="63"/>
      <w:bookmarkEnd w:id="64"/>
      <w:bookmarkEnd w:id="65"/>
      <w:bookmarkEnd w:id="66"/>
      <w:bookmarkEnd w:id="67"/>
      <w:bookmarkEnd w:id="68"/>
      <w:bookmarkEnd w:id="69"/>
    </w:p>
    <w:p w14:paraId="6163A86F" w14:textId="77777777" w:rsidR="00607896" w:rsidRPr="00552106" w:rsidRDefault="00607896" w:rsidP="00607896">
      <w:pPr>
        <w:pStyle w:val="Heading2"/>
        <w:keepLines w:val="0"/>
        <w:numPr>
          <w:ilvl w:val="1"/>
          <w:numId w:val="23"/>
        </w:numPr>
        <w:spacing w:before="360" w:after="120"/>
        <w:ind w:left="1134" w:hanging="1134"/>
        <w:jc w:val="left"/>
      </w:pPr>
      <w:bookmarkStart w:id="70" w:name="_Toc427155044"/>
      <w:bookmarkStart w:id="71" w:name="_Toc522191575"/>
      <w:bookmarkStart w:id="72" w:name="_Toc522194970"/>
      <w:bookmarkStart w:id="73" w:name="_Toc522265724"/>
      <w:bookmarkStart w:id="74" w:name="_Toc523221618"/>
      <w:bookmarkStart w:id="75" w:name="_Toc523223516"/>
      <w:bookmarkStart w:id="76" w:name="_Toc84321241"/>
      <w:r w:rsidRPr="00552106">
        <w:t>Chief Executive</w:t>
      </w:r>
      <w:bookmarkEnd w:id="70"/>
      <w:bookmarkEnd w:id="71"/>
      <w:bookmarkEnd w:id="72"/>
      <w:bookmarkEnd w:id="73"/>
      <w:bookmarkEnd w:id="74"/>
      <w:bookmarkEnd w:id="75"/>
      <w:bookmarkEnd w:id="76"/>
    </w:p>
    <w:p w14:paraId="4741A56E" w14:textId="77777777" w:rsidR="00607896" w:rsidRPr="00552106" w:rsidRDefault="00607896" w:rsidP="00607896">
      <w:pPr>
        <w:rPr>
          <w:szCs w:val="22"/>
        </w:rPr>
      </w:pPr>
      <w:r w:rsidRPr="00552106">
        <w:rPr>
          <w:szCs w:val="22"/>
        </w:rPr>
        <w:t xml:space="preserve">The </w:t>
      </w:r>
      <w:r w:rsidRPr="00552106">
        <w:rPr>
          <w:bCs/>
          <w:szCs w:val="22"/>
        </w:rPr>
        <w:t xml:space="preserve">Chief Executive </w:t>
      </w:r>
      <w:r w:rsidRPr="00552106">
        <w:rPr>
          <w:szCs w:val="22"/>
        </w:rPr>
        <w:t>is ultimately responsible for the implementation of this document.</w:t>
      </w:r>
    </w:p>
    <w:p w14:paraId="3C745782" w14:textId="77777777" w:rsidR="00607896" w:rsidRPr="00552106" w:rsidRDefault="00607896" w:rsidP="00607896">
      <w:pPr>
        <w:pStyle w:val="Heading2"/>
        <w:keepLines w:val="0"/>
        <w:numPr>
          <w:ilvl w:val="1"/>
          <w:numId w:val="23"/>
        </w:numPr>
        <w:spacing w:before="360" w:after="120"/>
        <w:ind w:left="1134" w:hanging="1134"/>
        <w:jc w:val="left"/>
      </w:pPr>
      <w:bookmarkStart w:id="77" w:name="_Toc522191576"/>
      <w:bookmarkStart w:id="78" w:name="_Toc522194971"/>
      <w:bookmarkStart w:id="79" w:name="_Toc522265725"/>
      <w:bookmarkStart w:id="80" w:name="_Toc523221619"/>
      <w:bookmarkStart w:id="81" w:name="_Toc523223517"/>
      <w:bookmarkStart w:id="82" w:name="_Toc84321242"/>
      <w:r w:rsidRPr="00552106">
        <w:t xml:space="preserve">Ward Managers, Matrons and Managers for </w:t>
      </w:r>
      <w:proofErr w:type="gramStart"/>
      <w:r w:rsidRPr="00552106">
        <w:t>Non Clinical</w:t>
      </w:r>
      <w:proofErr w:type="gramEnd"/>
      <w:r w:rsidRPr="00552106">
        <w:t xml:space="preserve"> Services</w:t>
      </w:r>
      <w:bookmarkEnd w:id="77"/>
      <w:bookmarkEnd w:id="78"/>
      <w:bookmarkEnd w:id="79"/>
      <w:bookmarkEnd w:id="80"/>
      <w:bookmarkEnd w:id="81"/>
      <w:bookmarkEnd w:id="82"/>
      <w:r w:rsidRPr="00552106">
        <w:t xml:space="preserve"> </w:t>
      </w:r>
    </w:p>
    <w:p w14:paraId="564DFB4E" w14:textId="77777777" w:rsidR="00607896" w:rsidRPr="00552106" w:rsidRDefault="00607896" w:rsidP="00607896">
      <w:pPr>
        <w:rPr>
          <w:rFonts w:cs="Arial"/>
          <w:color w:val="000000" w:themeColor="text1"/>
          <w:szCs w:val="22"/>
        </w:rPr>
      </w:pPr>
      <w:r w:rsidRPr="00552106">
        <w:rPr>
          <w:szCs w:val="22"/>
        </w:rPr>
        <w:t xml:space="preserve">All Ward Managers, Matrons and Managers for </w:t>
      </w:r>
      <w:proofErr w:type="gramStart"/>
      <w:r w:rsidRPr="00552106">
        <w:rPr>
          <w:szCs w:val="22"/>
        </w:rPr>
        <w:t>Non Clinical</w:t>
      </w:r>
      <w:proofErr w:type="gramEnd"/>
      <w:r w:rsidRPr="00552106">
        <w:rPr>
          <w:szCs w:val="22"/>
        </w:rPr>
        <w:t xml:space="preserve"> Services </w:t>
      </w:r>
      <w:r w:rsidRPr="00552106">
        <w:rPr>
          <w:rFonts w:cs="Arial"/>
          <w:color w:val="000000" w:themeColor="text1"/>
          <w:szCs w:val="22"/>
        </w:rPr>
        <w:t>must ensure that employees within their area are aware of this document; able to implement the document and that any superseded documents are destroyed.</w:t>
      </w:r>
    </w:p>
    <w:p w14:paraId="08AEBA74" w14:textId="77777777" w:rsidR="00607896" w:rsidRPr="00552106" w:rsidRDefault="00607896" w:rsidP="00607896">
      <w:pPr>
        <w:pStyle w:val="Heading2"/>
        <w:keepLines w:val="0"/>
        <w:numPr>
          <w:ilvl w:val="1"/>
          <w:numId w:val="23"/>
        </w:numPr>
        <w:spacing w:before="360" w:after="120"/>
        <w:ind w:left="1134" w:hanging="1134"/>
        <w:jc w:val="left"/>
      </w:pPr>
      <w:bookmarkStart w:id="83" w:name="_Toc427155046"/>
      <w:bookmarkStart w:id="84" w:name="_Toc522191577"/>
      <w:bookmarkStart w:id="85" w:name="_Toc522194972"/>
      <w:bookmarkStart w:id="86" w:name="_Toc522265726"/>
      <w:bookmarkStart w:id="87" w:name="_Toc523221620"/>
      <w:bookmarkStart w:id="88" w:name="_Toc523223518"/>
      <w:bookmarkStart w:id="89" w:name="_Toc84321243"/>
      <w:r w:rsidRPr="00552106">
        <w:t>Document Author and Document Implementation Lead</w:t>
      </w:r>
      <w:bookmarkEnd w:id="83"/>
      <w:bookmarkEnd w:id="84"/>
      <w:bookmarkEnd w:id="85"/>
      <w:bookmarkEnd w:id="86"/>
      <w:bookmarkEnd w:id="87"/>
      <w:bookmarkEnd w:id="88"/>
      <w:bookmarkEnd w:id="89"/>
    </w:p>
    <w:p w14:paraId="3233A2D2" w14:textId="77777777" w:rsidR="00607896" w:rsidRPr="00552106" w:rsidRDefault="00607896" w:rsidP="00607896">
      <w:pPr>
        <w:rPr>
          <w:rFonts w:cs="Arial"/>
          <w:bCs/>
          <w:szCs w:val="22"/>
        </w:rPr>
      </w:pPr>
      <w:r w:rsidRPr="00552106">
        <w:rPr>
          <w:rFonts w:cs="Arial"/>
          <w:bCs/>
          <w:szCs w:val="22"/>
        </w:rPr>
        <w:t xml:space="preserve">The document Author and the document Implementation Lead are responsible for identifying the need for a change in this document </w:t>
      </w:r>
      <w:proofErr w:type="gramStart"/>
      <w:r w:rsidRPr="00552106">
        <w:rPr>
          <w:rFonts w:cs="Arial"/>
          <w:bCs/>
          <w:szCs w:val="22"/>
        </w:rPr>
        <w:t>as a result of</w:t>
      </w:r>
      <w:proofErr w:type="gramEnd"/>
      <w:r w:rsidRPr="00552106">
        <w:rPr>
          <w:rFonts w:cs="Arial"/>
          <w:bCs/>
          <w:szCs w:val="22"/>
        </w:rPr>
        <w:t xml:space="preserve"> becoming aware of changes in practice, changes to </w:t>
      </w:r>
      <w:r w:rsidRPr="00552106">
        <w:rPr>
          <w:rFonts w:cs="Arial"/>
          <w:bCs/>
          <w:szCs w:val="22"/>
        </w:rPr>
        <w:lastRenderedPageBreak/>
        <w:t xml:space="preserve">statutory requirements, revised professional or clinical standards and local/national directives, and resubmitting the document for approval and republication if changes are required. </w:t>
      </w:r>
    </w:p>
    <w:p w14:paraId="01FA325A" w14:textId="77777777" w:rsidR="00111567" w:rsidRDefault="00111567" w:rsidP="00607896">
      <w:pPr>
        <w:pStyle w:val="Heading2"/>
        <w:keepLines w:val="0"/>
        <w:numPr>
          <w:ilvl w:val="1"/>
          <w:numId w:val="23"/>
        </w:numPr>
        <w:spacing w:before="360" w:after="120"/>
        <w:ind w:left="1134" w:hanging="1134"/>
        <w:jc w:val="left"/>
      </w:pPr>
      <w:bookmarkStart w:id="90" w:name="_Toc84321244"/>
      <w:bookmarkStart w:id="91" w:name="_Toc427155048"/>
      <w:bookmarkStart w:id="92" w:name="_Toc522191578"/>
      <w:bookmarkStart w:id="93" w:name="_Toc522194973"/>
      <w:bookmarkStart w:id="94" w:name="_Toc522265727"/>
      <w:bookmarkStart w:id="95" w:name="_Toc523221621"/>
      <w:bookmarkStart w:id="96" w:name="_Toc523223519"/>
      <w:r>
        <w:t>All Employees</w:t>
      </w:r>
      <w:bookmarkEnd w:id="90"/>
    </w:p>
    <w:p w14:paraId="766A54EC" w14:textId="77777777" w:rsidR="00111567" w:rsidRDefault="00111567" w:rsidP="00111567">
      <w:r>
        <w:t>All employees are to abide by this policy document.</w:t>
      </w:r>
    </w:p>
    <w:p w14:paraId="6848E4B6" w14:textId="77777777" w:rsidR="00111567" w:rsidRDefault="00111567" w:rsidP="00607896">
      <w:pPr>
        <w:pStyle w:val="Heading2"/>
        <w:keepLines w:val="0"/>
        <w:numPr>
          <w:ilvl w:val="1"/>
          <w:numId w:val="23"/>
        </w:numPr>
        <w:spacing w:before="360" w:after="120"/>
        <w:ind w:left="1134" w:hanging="1134"/>
        <w:jc w:val="left"/>
      </w:pPr>
      <w:bookmarkStart w:id="97" w:name="_Toc84321245"/>
      <w:r>
        <w:t>Line Managers</w:t>
      </w:r>
      <w:bookmarkEnd w:id="97"/>
    </w:p>
    <w:p w14:paraId="4F7AF827" w14:textId="77777777" w:rsidR="00111567" w:rsidRDefault="00111567" w:rsidP="00111567">
      <w:r>
        <w:t>Line managers must ensure that this policy document is read and understood by all employees they are responsible for and must ensure that they are adequately trained in and are fully aware of the Trust’s requirements for confidentiality and data protection.</w:t>
      </w:r>
    </w:p>
    <w:p w14:paraId="3B8EC86F" w14:textId="77777777" w:rsidR="00111567" w:rsidRPr="007B5BC2" w:rsidRDefault="00111567" w:rsidP="00111567">
      <w:pPr>
        <w:pStyle w:val="Heading2"/>
        <w:keepLines w:val="0"/>
        <w:numPr>
          <w:ilvl w:val="1"/>
          <w:numId w:val="23"/>
        </w:numPr>
        <w:spacing w:before="360" w:after="120"/>
        <w:ind w:left="1134" w:hanging="1134"/>
        <w:jc w:val="left"/>
      </w:pPr>
      <w:bookmarkStart w:id="98" w:name="_Toc348961565"/>
      <w:bookmarkStart w:id="99" w:name="_Toc422754328"/>
      <w:bookmarkStart w:id="100" w:name="_Toc423444826"/>
      <w:bookmarkStart w:id="101" w:name="_Toc423452669"/>
      <w:bookmarkStart w:id="102" w:name="_Toc84321246"/>
      <w:r>
        <w:t>Employees with Information Governance Responsibilities</w:t>
      </w:r>
      <w:bookmarkEnd w:id="98"/>
      <w:bookmarkEnd w:id="99"/>
      <w:bookmarkEnd w:id="100"/>
      <w:bookmarkEnd w:id="101"/>
      <w:bookmarkEnd w:id="102"/>
    </w:p>
    <w:p w14:paraId="6FAC231D" w14:textId="77777777" w:rsidR="00111567" w:rsidRPr="00111567" w:rsidRDefault="00111567" w:rsidP="00111567">
      <w:r>
        <w:rPr>
          <w:szCs w:val="24"/>
        </w:rPr>
        <w:t xml:space="preserve">Employees with Information Governance (IG) responsibilities must ensure that they remain abreast of current legislation or other guidance </w:t>
      </w:r>
      <w:proofErr w:type="gramStart"/>
      <w:r>
        <w:rPr>
          <w:szCs w:val="24"/>
        </w:rPr>
        <w:t>e.g.</w:t>
      </w:r>
      <w:proofErr w:type="gramEnd"/>
      <w:r>
        <w:rPr>
          <w:szCs w:val="24"/>
        </w:rPr>
        <w:t xml:space="preserve"> from the Department of Health &amp; Social Care, the UK Council of Caldicott Guardians, the Information Commissioner’s Office etc.  They must ensure that they have undertaken appropriate training in Information Governance and are confident with assisting other employees to make informed decisions regarding information disclosure</w:t>
      </w:r>
    </w:p>
    <w:p w14:paraId="39CBF2BE" w14:textId="77777777" w:rsidR="00607896" w:rsidRDefault="00607896" w:rsidP="00607896">
      <w:pPr>
        <w:pStyle w:val="Heading2"/>
        <w:keepLines w:val="0"/>
        <w:numPr>
          <w:ilvl w:val="1"/>
          <w:numId w:val="23"/>
        </w:numPr>
        <w:spacing w:before="360" w:after="120"/>
        <w:ind w:left="1134" w:hanging="1134"/>
        <w:jc w:val="left"/>
      </w:pPr>
      <w:bookmarkStart w:id="103" w:name="_Toc84321247"/>
      <w:r w:rsidRPr="00552106">
        <w:t xml:space="preserve">The </w:t>
      </w:r>
      <w:bookmarkEnd w:id="91"/>
      <w:bookmarkEnd w:id="92"/>
      <w:bookmarkEnd w:id="93"/>
      <w:bookmarkEnd w:id="94"/>
      <w:bookmarkEnd w:id="95"/>
      <w:bookmarkEnd w:id="96"/>
      <w:r w:rsidR="00111567">
        <w:t>IG Steering Group</w:t>
      </w:r>
      <w:bookmarkEnd w:id="103"/>
    </w:p>
    <w:p w14:paraId="602C2961" w14:textId="77777777" w:rsidR="00111567" w:rsidRPr="00111567" w:rsidRDefault="00111567" w:rsidP="00111567">
      <w:r>
        <w:t xml:space="preserve">The IG Steering Group is to </w:t>
      </w:r>
      <w:r w:rsidRPr="00111567">
        <w:t>ensure that the Trust has effective policies and management arrangements covering all aspects of Information Governance (IG)</w:t>
      </w:r>
      <w:r>
        <w:t xml:space="preserve"> and to monitor all IG activities and performance.</w:t>
      </w:r>
    </w:p>
    <w:p w14:paraId="193C5D96" w14:textId="77777777" w:rsidR="00607896" w:rsidRPr="001F5C34" w:rsidRDefault="00607896" w:rsidP="009D1C49">
      <w:pPr>
        <w:pStyle w:val="Heading1"/>
        <w:numPr>
          <w:ilvl w:val="0"/>
          <w:numId w:val="23"/>
        </w:numPr>
        <w:ind w:left="1134" w:hanging="1134"/>
      </w:pPr>
      <w:bookmarkStart w:id="104" w:name="_Toc522194974"/>
      <w:bookmarkStart w:id="105" w:name="_Toc522265728"/>
      <w:bookmarkStart w:id="106" w:name="_Toc523221622"/>
      <w:bookmarkStart w:id="107" w:name="_Toc523223520"/>
      <w:bookmarkStart w:id="108" w:name="_Toc84321248"/>
      <w:bookmarkStart w:id="109" w:name="_Toc72037065"/>
      <w:bookmarkStart w:id="110" w:name="_Toc72037236"/>
      <w:bookmarkStart w:id="111" w:name="_Toc379448645"/>
      <w:r w:rsidRPr="001F5C34">
        <w:t>Further Reading, Consultation and Glossary</w:t>
      </w:r>
      <w:bookmarkEnd w:id="104"/>
      <w:bookmarkEnd w:id="105"/>
      <w:bookmarkEnd w:id="106"/>
      <w:bookmarkEnd w:id="107"/>
      <w:bookmarkEnd w:id="108"/>
    </w:p>
    <w:p w14:paraId="3BDEF3D2" w14:textId="77777777" w:rsidR="00607896" w:rsidRDefault="00607896" w:rsidP="00111567">
      <w:pPr>
        <w:pStyle w:val="Heading2"/>
        <w:keepLines w:val="0"/>
        <w:numPr>
          <w:ilvl w:val="1"/>
          <w:numId w:val="23"/>
        </w:numPr>
        <w:spacing w:before="360" w:after="120"/>
        <w:ind w:left="1134" w:hanging="1134"/>
        <w:jc w:val="left"/>
      </w:pPr>
      <w:bookmarkStart w:id="112" w:name="_Toc427155053"/>
      <w:bookmarkStart w:id="113" w:name="_Toc522191579"/>
      <w:bookmarkStart w:id="114" w:name="_Toc522194975"/>
      <w:bookmarkStart w:id="115" w:name="_Toc522265729"/>
      <w:bookmarkStart w:id="116" w:name="_Toc523221623"/>
      <w:bookmarkStart w:id="117" w:name="_Toc523223521"/>
      <w:bookmarkStart w:id="118" w:name="_Toc84321249"/>
      <w:r w:rsidRPr="00552106">
        <w:t>References</w:t>
      </w:r>
      <w:bookmarkEnd w:id="109"/>
      <w:bookmarkEnd w:id="110"/>
      <w:r w:rsidRPr="00552106">
        <w:t>, Further Reading and Links to Other Policies</w:t>
      </w:r>
      <w:bookmarkEnd w:id="111"/>
      <w:bookmarkEnd w:id="112"/>
      <w:bookmarkEnd w:id="113"/>
      <w:bookmarkEnd w:id="114"/>
      <w:bookmarkEnd w:id="115"/>
      <w:bookmarkEnd w:id="116"/>
      <w:bookmarkEnd w:id="117"/>
      <w:bookmarkEnd w:id="118"/>
    </w:p>
    <w:p w14:paraId="733C9F32" w14:textId="77777777" w:rsidR="00607896" w:rsidRPr="00B009B7" w:rsidRDefault="00607896" w:rsidP="00607896">
      <w:pPr>
        <w:rPr>
          <w:szCs w:val="22"/>
        </w:rPr>
      </w:pPr>
      <w:r w:rsidRPr="00B009B7">
        <w:rPr>
          <w:szCs w:val="22"/>
        </w:rPr>
        <w:t xml:space="preserve">The following is a list of other policies, procedural documents or guidance documents (internal or external) which </w:t>
      </w:r>
      <w:r>
        <w:rPr>
          <w:szCs w:val="22"/>
        </w:rPr>
        <w:t xml:space="preserve">employees </w:t>
      </w:r>
      <w:r w:rsidRPr="00B009B7">
        <w:rPr>
          <w:szCs w:val="22"/>
        </w:rPr>
        <w:t>should refer to for further details:</w:t>
      </w:r>
    </w:p>
    <w:p w14:paraId="77B42E2F" w14:textId="77777777" w:rsidR="00607896" w:rsidRPr="00B009B7" w:rsidRDefault="00607896" w:rsidP="00607896">
      <w:pPr>
        <w:rPr>
          <w:szCs w:val="22"/>
        </w:rPr>
      </w:pPr>
    </w:p>
    <w:tbl>
      <w:tblPr>
        <w:tblW w:w="99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4629"/>
        <w:gridCol w:w="4371"/>
      </w:tblGrid>
      <w:tr w:rsidR="00607896" w14:paraId="5C45DA12" w14:textId="77777777" w:rsidTr="009D2C41">
        <w:trPr>
          <w:cantSplit/>
          <w:tblHeader/>
        </w:trPr>
        <w:tc>
          <w:tcPr>
            <w:tcW w:w="958" w:type="dxa"/>
            <w:shd w:val="pct10" w:color="auto" w:fill="auto"/>
          </w:tcPr>
          <w:p w14:paraId="565CA600" w14:textId="77777777" w:rsidR="00607896" w:rsidRPr="00AD736E" w:rsidRDefault="00607896" w:rsidP="009D2C41">
            <w:pPr>
              <w:keepNext/>
              <w:rPr>
                <w:b/>
                <w:sz w:val="20"/>
                <w:szCs w:val="18"/>
              </w:rPr>
            </w:pPr>
            <w:r w:rsidRPr="00AD736E">
              <w:rPr>
                <w:b/>
                <w:sz w:val="20"/>
                <w:szCs w:val="18"/>
              </w:rPr>
              <w:t>Ref. No.</w:t>
            </w:r>
          </w:p>
        </w:tc>
        <w:tc>
          <w:tcPr>
            <w:tcW w:w="4629" w:type="dxa"/>
            <w:shd w:val="pct10" w:color="auto" w:fill="auto"/>
          </w:tcPr>
          <w:p w14:paraId="3B59419D" w14:textId="77777777" w:rsidR="00607896" w:rsidRPr="00AD736E" w:rsidRDefault="00607896" w:rsidP="009D2C41">
            <w:pPr>
              <w:keepNext/>
              <w:rPr>
                <w:b/>
                <w:sz w:val="20"/>
                <w:szCs w:val="18"/>
              </w:rPr>
            </w:pPr>
            <w:r w:rsidRPr="00AD736E">
              <w:rPr>
                <w:b/>
                <w:sz w:val="20"/>
                <w:szCs w:val="18"/>
              </w:rPr>
              <w:t>Document Title</w:t>
            </w:r>
          </w:p>
        </w:tc>
        <w:tc>
          <w:tcPr>
            <w:tcW w:w="4371" w:type="dxa"/>
            <w:shd w:val="pct10" w:color="auto" w:fill="auto"/>
          </w:tcPr>
          <w:p w14:paraId="6A370849" w14:textId="77777777" w:rsidR="00607896" w:rsidRPr="00AD736E" w:rsidRDefault="00607896" w:rsidP="009D2C41">
            <w:pPr>
              <w:keepNext/>
              <w:rPr>
                <w:b/>
                <w:sz w:val="20"/>
                <w:szCs w:val="18"/>
              </w:rPr>
            </w:pPr>
            <w:r w:rsidRPr="00AD736E">
              <w:rPr>
                <w:b/>
                <w:sz w:val="20"/>
                <w:szCs w:val="18"/>
              </w:rPr>
              <w:t>Document Location</w:t>
            </w:r>
          </w:p>
        </w:tc>
      </w:tr>
      <w:tr w:rsidR="00607896" w14:paraId="527EB13F" w14:textId="77777777" w:rsidTr="009D2C41">
        <w:trPr>
          <w:cantSplit/>
        </w:trPr>
        <w:tc>
          <w:tcPr>
            <w:tcW w:w="958" w:type="dxa"/>
          </w:tcPr>
          <w:p w14:paraId="7ECBC08C" w14:textId="77777777" w:rsidR="00607896" w:rsidRPr="00AD736E" w:rsidRDefault="00E07413" w:rsidP="009D2C41">
            <w:pPr>
              <w:rPr>
                <w:szCs w:val="18"/>
              </w:rPr>
            </w:pPr>
            <w:r>
              <w:rPr>
                <w:szCs w:val="18"/>
              </w:rPr>
              <w:t>1</w:t>
            </w:r>
          </w:p>
        </w:tc>
        <w:tc>
          <w:tcPr>
            <w:tcW w:w="4629" w:type="dxa"/>
          </w:tcPr>
          <w:p w14:paraId="69A6BD28" w14:textId="77777777" w:rsidR="00607896" w:rsidRPr="002E3089" w:rsidRDefault="00E07413" w:rsidP="009D2C41">
            <w:pPr>
              <w:rPr>
                <w:szCs w:val="18"/>
              </w:rPr>
            </w:pPr>
            <w:r>
              <w:rPr>
                <w:szCs w:val="18"/>
              </w:rPr>
              <w:t>The Common Law Duty of Confidence</w:t>
            </w:r>
          </w:p>
        </w:tc>
        <w:tc>
          <w:tcPr>
            <w:tcW w:w="4371" w:type="dxa"/>
          </w:tcPr>
          <w:p w14:paraId="3CB3A2F0" w14:textId="77777777" w:rsidR="00607896" w:rsidRPr="004D11F7" w:rsidRDefault="00D701A7" w:rsidP="00E07413">
            <w:pPr>
              <w:rPr>
                <w:szCs w:val="18"/>
              </w:rPr>
            </w:pPr>
            <w:hyperlink r:id="rId13" w:history="1">
              <w:r w:rsidR="00E07413" w:rsidRPr="00C864CC">
                <w:rPr>
                  <w:rStyle w:val="Hyperlink"/>
                  <w:szCs w:val="18"/>
                </w:rPr>
                <w:t>https://www.health-ni.gov.uk</w:t>
              </w:r>
            </w:hyperlink>
            <w:r w:rsidR="00E07413">
              <w:rPr>
                <w:szCs w:val="18"/>
              </w:rPr>
              <w:t xml:space="preserve"> </w:t>
            </w:r>
          </w:p>
        </w:tc>
      </w:tr>
      <w:tr w:rsidR="00607896" w14:paraId="2313940B" w14:textId="77777777" w:rsidTr="009D2C41">
        <w:trPr>
          <w:cantSplit/>
        </w:trPr>
        <w:tc>
          <w:tcPr>
            <w:tcW w:w="958" w:type="dxa"/>
          </w:tcPr>
          <w:p w14:paraId="6162927B" w14:textId="77777777" w:rsidR="00607896" w:rsidRPr="00AD736E" w:rsidRDefault="00E07413" w:rsidP="009D2C41">
            <w:pPr>
              <w:rPr>
                <w:szCs w:val="18"/>
              </w:rPr>
            </w:pPr>
            <w:r>
              <w:rPr>
                <w:szCs w:val="18"/>
              </w:rPr>
              <w:t>2</w:t>
            </w:r>
          </w:p>
        </w:tc>
        <w:tc>
          <w:tcPr>
            <w:tcW w:w="4629" w:type="dxa"/>
          </w:tcPr>
          <w:p w14:paraId="1D9A554C" w14:textId="77777777" w:rsidR="00607896" w:rsidRPr="002E3089" w:rsidRDefault="00E07413" w:rsidP="009D2C41">
            <w:pPr>
              <w:rPr>
                <w:szCs w:val="18"/>
              </w:rPr>
            </w:pPr>
            <w:r>
              <w:rPr>
                <w:szCs w:val="18"/>
              </w:rPr>
              <w:t>The Caldicott Principles</w:t>
            </w:r>
          </w:p>
        </w:tc>
        <w:tc>
          <w:tcPr>
            <w:tcW w:w="4371" w:type="dxa"/>
          </w:tcPr>
          <w:p w14:paraId="44C70B91" w14:textId="77777777" w:rsidR="00607896" w:rsidRDefault="00D701A7" w:rsidP="00E07413">
            <w:hyperlink r:id="rId14" w:history="1">
              <w:r w:rsidR="00E07413" w:rsidRPr="00C864CC">
                <w:rPr>
                  <w:rStyle w:val="Hyperlink"/>
                </w:rPr>
                <w:t>https://www.igt.hscic.gov.uk</w:t>
              </w:r>
            </w:hyperlink>
            <w:r w:rsidR="00E07413">
              <w:t xml:space="preserve"> </w:t>
            </w:r>
          </w:p>
        </w:tc>
      </w:tr>
      <w:tr w:rsidR="00607896" w14:paraId="648FBD1F" w14:textId="77777777" w:rsidTr="009D2C41">
        <w:trPr>
          <w:cantSplit/>
        </w:trPr>
        <w:tc>
          <w:tcPr>
            <w:tcW w:w="958" w:type="dxa"/>
          </w:tcPr>
          <w:p w14:paraId="41231FB8" w14:textId="77777777" w:rsidR="00607896" w:rsidRPr="00AD736E" w:rsidRDefault="00E07413" w:rsidP="009D2C41">
            <w:pPr>
              <w:rPr>
                <w:szCs w:val="18"/>
              </w:rPr>
            </w:pPr>
            <w:r>
              <w:rPr>
                <w:szCs w:val="18"/>
              </w:rPr>
              <w:t>3</w:t>
            </w:r>
          </w:p>
        </w:tc>
        <w:tc>
          <w:tcPr>
            <w:tcW w:w="4629" w:type="dxa"/>
          </w:tcPr>
          <w:p w14:paraId="7B84B8BF" w14:textId="77777777" w:rsidR="00607896" w:rsidRPr="002E3089" w:rsidRDefault="00E07413" w:rsidP="009D2C41">
            <w:pPr>
              <w:rPr>
                <w:szCs w:val="18"/>
              </w:rPr>
            </w:pPr>
            <w:r>
              <w:rPr>
                <w:szCs w:val="18"/>
              </w:rPr>
              <w:t>Data Protection Act 2018</w:t>
            </w:r>
          </w:p>
        </w:tc>
        <w:tc>
          <w:tcPr>
            <w:tcW w:w="4371" w:type="dxa"/>
          </w:tcPr>
          <w:p w14:paraId="2DB06E99" w14:textId="77777777" w:rsidR="00E07413" w:rsidRDefault="00D701A7" w:rsidP="009D2C41">
            <w:hyperlink r:id="rId15" w:history="1">
              <w:r w:rsidR="00E07413" w:rsidRPr="00C864CC">
                <w:rPr>
                  <w:rStyle w:val="Hyperlink"/>
                </w:rPr>
                <w:t>https://www.gov.uk</w:t>
              </w:r>
            </w:hyperlink>
            <w:r w:rsidR="00E07413">
              <w:t xml:space="preserve"> </w:t>
            </w:r>
          </w:p>
        </w:tc>
      </w:tr>
      <w:tr w:rsidR="00607896" w14:paraId="77E3EA43" w14:textId="77777777" w:rsidTr="009D2C41">
        <w:trPr>
          <w:cantSplit/>
        </w:trPr>
        <w:tc>
          <w:tcPr>
            <w:tcW w:w="958" w:type="dxa"/>
          </w:tcPr>
          <w:p w14:paraId="79572A6C" w14:textId="77777777" w:rsidR="00607896" w:rsidRPr="00AD736E" w:rsidRDefault="00E07413" w:rsidP="009D2C41">
            <w:pPr>
              <w:rPr>
                <w:szCs w:val="18"/>
              </w:rPr>
            </w:pPr>
            <w:r>
              <w:rPr>
                <w:szCs w:val="18"/>
              </w:rPr>
              <w:t>4</w:t>
            </w:r>
          </w:p>
        </w:tc>
        <w:tc>
          <w:tcPr>
            <w:tcW w:w="4629" w:type="dxa"/>
          </w:tcPr>
          <w:p w14:paraId="20035B1C" w14:textId="2D8BB85D" w:rsidR="00607896" w:rsidRPr="002E3089" w:rsidRDefault="00EB2380" w:rsidP="009D2C41">
            <w:pPr>
              <w:rPr>
                <w:szCs w:val="24"/>
              </w:rPr>
            </w:pPr>
            <w:r>
              <w:rPr>
                <w:szCs w:val="24"/>
              </w:rPr>
              <w:t xml:space="preserve">UK </w:t>
            </w:r>
            <w:r w:rsidR="00E07413">
              <w:rPr>
                <w:szCs w:val="24"/>
              </w:rPr>
              <w:t>General Data Protection Regulation</w:t>
            </w:r>
          </w:p>
        </w:tc>
        <w:tc>
          <w:tcPr>
            <w:tcW w:w="4371" w:type="dxa"/>
          </w:tcPr>
          <w:p w14:paraId="3BCB0DF9" w14:textId="77777777" w:rsidR="00607896" w:rsidRDefault="00D701A7" w:rsidP="00E07413">
            <w:hyperlink r:id="rId16" w:history="1">
              <w:r w:rsidR="00E07413" w:rsidRPr="00C864CC">
                <w:rPr>
                  <w:rStyle w:val="Hyperlink"/>
                </w:rPr>
                <w:t>https://www.gov.uk</w:t>
              </w:r>
            </w:hyperlink>
            <w:r w:rsidR="00E07413">
              <w:t xml:space="preserve"> </w:t>
            </w:r>
          </w:p>
        </w:tc>
      </w:tr>
      <w:tr w:rsidR="00607896" w14:paraId="380BFAD3" w14:textId="77777777" w:rsidTr="009D2C41">
        <w:trPr>
          <w:cantSplit/>
        </w:trPr>
        <w:tc>
          <w:tcPr>
            <w:tcW w:w="958" w:type="dxa"/>
          </w:tcPr>
          <w:p w14:paraId="7D9F0040" w14:textId="77777777" w:rsidR="00607896" w:rsidRPr="00AD736E" w:rsidRDefault="00E07413" w:rsidP="009D2C41">
            <w:pPr>
              <w:rPr>
                <w:szCs w:val="18"/>
              </w:rPr>
            </w:pPr>
            <w:r>
              <w:rPr>
                <w:szCs w:val="18"/>
              </w:rPr>
              <w:t>5</w:t>
            </w:r>
          </w:p>
        </w:tc>
        <w:tc>
          <w:tcPr>
            <w:tcW w:w="4629" w:type="dxa"/>
          </w:tcPr>
          <w:p w14:paraId="57D99774" w14:textId="77777777" w:rsidR="00607896" w:rsidRPr="002E3089" w:rsidRDefault="00E07413" w:rsidP="009D2C41">
            <w:pPr>
              <w:rPr>
                <w:szCs w:val="24"/>
              </w:rPr>
            </w:pPr>
            <w:r>
              <w:rPr>
                <w:szCs w:val="24"/>
              </w:rPr>
              <w:t>Freedom of Information Act 2000</w:t>
            </w:r>
          </w:p>
        </w:tc>
        <w:tc>
          <w:tcPr>
            <w:tcW w:w="4371" w:type="dxa"/>
          </w:tcPr>
          <w:p w14:paraId="51940EE3" w14:textId="77777777" w:rsidR="00E07413" w:rsidRDefault="00D701A7" w:rsidP="00E07413">
            <w:hyperlink r:id="rId17" w:history="1">
              <w:r w:rsidR="00E07413" w:rsidRPr="00C864CC">
                <w:rPr>
                  <w:rStyle w:val="Hyperlink"/>
                </w:rPr>
                <w:t>https://www.legislation.gov.uk</w:t>
              </w:r>
            </w:hyperlink>
            <w:r w:rsidR="00E07413">
              <w:t xml:space="preserve"> </w:t>
            </w:r>
          </w:p>
        </w:tc>
      </w:tr>
      <w:tr w:rsidR="00607896" w14:paraId="72CB558D" w14:textId="77777777" w:rsidTr="009D2C41">
        <w:trPr>
          <w:cantSplit/>
        </w:trPr>
        <w:tc>
          <w:tcPr>
            <w:tcW w:w="958" w:type="dxa"/>
          </w:tcPr>
          <w:p w14:paraId="3EA23AC2" w14:textId="77777777" w:rsidR="00607896" w:rsidRPr="00AD736E" w:rsidRDefault="00E07413" w:rsidP="009D2C41">
            <w:pPr>
              <w:rPr>
                <w:szCs w:val="18"/>
              </w:rPr>
            </w:pPr>
            <w:r>
              <w:rPr>
                <w:szCs w:val="18"/>
              </w:rPr>
              <w:t>6</w:t>
            </w:r>
          </w:p>
        </w:tc>
        <w:tc>
          <w:tcPr>
            <w:tcW w:w="4629" w:type="dxa"/>
          </w:tcPr>
          <w:p w14:paraId="70B4F09A" w14:textId="77777777" w:rsidR="00607896" w:rsidRPr="002E3089" w:rsidRDefault="00E07413" w:rsidP="009D2C41">
            <w:pPr>
              <w:rPr>
                <w:szCs w:val="24"/>
              </w:rPr>
            </w:pPr>
            <w:r>
              <w:rPr>
                <w:szCs w:val="24"/>
              </w:rPr>
              <w:t>Human Rights Act 1998</w:t>
            </w:r>
          </w:p>
        </w:tc>
        <w:tc>
          <w:tcPr>
            <w:tcW w:w="4371" w:type="dxa"/>
          </w:tcPr>
          <w:p w14:paraId="687F32C3" w14:textId="77777777" w:rsidR="00607896" w:rsidRDefault="00D701A7" w:rsidP="00E07413">
            <w:hyperlink r:id="rId18" w:history="1">
              <w:r w:rsidR="00E07413" w:rsidRPr="00C864CC">
                <w:rPr>
                  <w:rStyle w:val="Hyperlink"/>
                </w:rPr>
                <w:t>https://www.legislation.gov.uk</w:t>
              </w:r>
            </w:hyperlink>
            <w:r w:rsidR="00E07413">
              <w:t xml:space="preserve"> </w:t>
            </w:r>
          </w:p>
        </w:tc>
      </w:tr>
      <w:tr w:rsidR="00E07413" w14:paraId="4F91DCE9" w14:textId="77777777" w:rsidTr="009D2C41">
        <w:trPr>
          <w:cantSplit/>
        </w:trPr>
        <w:tc>
          <w:tcPr>
            <w:tcW w:w="958" w:type="dxa"/>
          </w:tcPr>
          <w:p w14:paraId="7D9E05F1" w14:textId="77777777" w:rsidR="00E07413" w:rsidRPr="00AD736E" w:rsidRDefault="00E07413" w:rsidP="00E07413">
            <w:pPr>
              <w:rPr>
                <w:szCs w:val="18"/>
              </w:rPr>
            </w:pPr>
            <w:r>
              <w:rPr>
                <w:szCs w:val="18"/>
              </w:rPr>
              <w:t>7</w:t>
            </w:r>
          </w:p>
        </w:tc>
        <w:tc>
          <w:tcPr>
            <w:tcW w:w="4629" w:type="dxa"/>
          </w:tcPr>
          <w:p w14:paraId="3256FB58" w14:textId="77777777" w:rsidR="00E07413" w:rsidRPr="002E3089" w:rsidRDefault="00E07413" w:rsidP="00E07413">
            <w:pPr>
              <w:rPr>
                <w:szCs w:val="18"/>
              </w:rPr>
            </w:pPr>
            <w:r>
              <w:rPr>
                <w:szCs w:val="24"/>
              </w:rPr>
              <w:t>Data Protection Policy</w:t>
            </w:r>
          </w:p>
        </w:tc>
        <w:tc>
          <w:tcPr>
            <w:tcW w:w="4371" w:type="dxa"/>
          </w:tcPr>
          <w:p w14:paraId="4DF51E22" w14:textId="77777777" w:rsidR="00E07413" w:rsidRPr="004D11F7" w:rsidRDefault="00E07413" w:rsidP="00E07413">
            <w:pPr>
              <w:rPr>
                <w:szCs w:val="18"/>
              </w:rPr>
            </w:pPr>
            <w:r w:rsidRPr="004D11F7">
              <w:rPr>
                <w:szCs w:val="18"/>
              </w:rPr>
              <w:t>T: Trust-wide documents</w:t>
            </w:r>
          </w:p>
        </w:tc>
      </w:tr>
      <w:tr w:rsidR="00E07413" w14:paraId="1C9685F3" w14:textId="77777777" w:rsidTr="009D2C41">
        <w:trPr>
          <w:cantSplit/>
        </w:trPr>
        <w:tc>
          <w:tcPr>
            <w:tcW w:w="958" w:type="dxa"/>
          </w:tcPr>
          <w:p w14:paraId="29D4B954" w14:textId="77777777" w:rsidR="00E07413" w:rsidRDefault="00E07413" w:rsidP="00E07413">
            <w:pPr>
              <w:rPr>
                <w:szCs w:val="18"/>
              </w:rPr>
            </w:pPr>
            <w:r>
              <w:rPr>
                <w:szCs w:val="18"/>
              </w:rPr>
              <w:t>8</w:t>
            </w:r>
          </w:p>
        </w:tc>
        <w:tc>
          <w:tcPr>
            <w:tcW w:w="4629" w:type="dxa"/>
          </w:tcPr>
          <w:p w14:paraId="60D68775" w14:textId="77777777" w:rsidR="00E07413" w:rsidRDefault="00E07413" w:rsidP="00B62CBB">
            <w:pPr>
              <w:rPr>
                <w:szCs w:val="24"/>
              </w:rPr>
            </w:pPr>
            <w:r>
              <w:rPr>
                <w:szCs w:val="24"/>
              </w:rPr>
              <w:t xml:space="preserve">Environmental Information Regulations </w:t>
            </w:r>
            <w:r w:rsidR="00B62CBB">
              <w:rPr>
                <w:szCs w:val="24"/>
              </w:rPr>
              <w:t>2017</w:t>
            </w:r>
          </w:p>
        </w:tc>
        <w:tc>
          <w:tcPr>
            <w:tcW w:w="4371" w:type="dxa"/>
          </w:tcPr>
          <w:p w14:paraId="21177955" w14:textId="77777777" w:rsidR="00E07413" w:rsidRPr="004D11F7" w:rsidRDefault="00D701A7" w:rsidP="00E07413">
            <w:pPr>
              <w:rPr>
                <w:szCs w:val="18"/>
              </w:rPr>
            </w:pPr>
            <w:hyperlink r:id="rId19" w:history="1">
              <w:r w:rsidR="00E07413" w:rsidRPr="00C864CC">
                <w:rPr>
                  <w:rStyle w:val="Hyperlink"/>
                  <w:szCs w:val="18"/>
                </w:rPr>
                <w:t>http://www.legislation.gov.uk</w:t>
              </w:r>
            </w:hyperlink>
            <w:r w:rsidR="00E07413">
              <w:rPr>
                <w:szCs w:val="18"/>
              </w:rPr>
              <w:t xml:space="preserve"> </w:t>
            </w:r>
          </w:p>
        </w:tc>
      </w:tr>
      <w:tr w:rsidR="00E07413" w14:paraId="1E12A082" w14:textId="77777777" w:rsidTr="009D2C41">
        <w:trPr>
          <w:cantSplit/>
        </w:trPr>
        <w:tc>
          <w:tcPr>
            <w:tcW w:w="958" w:type="dxa"/>
          </w:tcPr>
          <w:p w14:paraId="559D8D79" w14:textId="77777777" w:rsidR="00E07413" w:rsidRPr="00AD736E" w:rsidRDefault="00E07413" w:rsidP="00E07413">
            <w:pPr>
              <w:rPr>
                <w:szCs w:val="18"/>
              </w:rPr>
            </w:pPr>
            <w:r>
              <w:rPr>
                <w:szCs w:val="18"/>
              </w:rPr>
              <w:t>9</w:t>
            </w:r>
          </w:p>
        </w:tc>
        <w:tc>
          <w:tcPr>
            <w:tcW w:w="4629" w:type="dxa"/>
          </w:tcPr>
          <w:p w14:paraId="18493EC4" w14:textId="77777777" w:rsidR="00E07413" w:rsidRPr="002E3089" w:rsidRDefault="00E07413" w:rsidP="00E07413">
            <w:pPr>
              <w:rPr>
                <w:szCs w:val="18"/>
              </w:rPr>
            </w:pPr>
            <w:r>
              <w:rPr>
                <w:szCs w:val="24"/>
              </w:rPr>
              <w:t>Freedom of Information Requests Procedure</w:t>
            </w:r>
          </w:p>
        </w:tc>
        <w:tc>
          <w:tcPr>
            <w:tcW w:w="4371" w:type="dxa"/>
          </w:tcPr>
          <w:p w14:paraId="4CF99695" w14:textId="77777777" w:rsidR="00E07413" w:rsidRDefault="00E07413" w:rsidP="00E07413">
            <w:r w:rsidRPr="004D11F7">
              <w:rPr>
                <w:szCs w:val="18"/>
              </w:rPr>
              <w:t>T: Trust-wide documents</w:t>
            </w:r>
          </w:p>
        </w:tc>
      </w:tr>
      <w:tr w:rsidR="00E07413" w14:paraId="75A2C4C8" w14:textId="77777777" w:rsidTr="009D2C41">
        <w:trPr>
          <w:cantSplit/>
        </w:trPr>
        <w:tc>
          <w:tcPr>
            <w:tcW w:w="958" w:type="dxa"/>
          </w:tcPr>
          <w:p w14:paraId="4BA44E8D" w14:textId="77777777" w:rsidR="00E07413" w:rsidRPr="00AD736E" w:rsidRDefault="00E07413" w:rsidP="00E07413">
            <w:pPr>
              <w:rPr>
                <w:szCs w:val="18"/>
              </w:rPr>
            </w:pPr>
            <w:r>
              <w:rPr>
                <w:szCs w:val="18"/>
              </w:rPr>
              <w:t>10</w:t>
            </w:r>
          </w:p>
        </w:tc>
        <w:tc>
          <w:tcPr>
            <w:tcW w:w="4629" w:type="dxa"/>
          </w:tcPr>
          <w:p w14:paraId="79666151" w14:textId="77777777" w:rsidR="00E07413" w:rsidRPr="002E3089" w:rsidRDefault="00E07413" w:rsidP="00E07413">
            <w:pPr>
              <w:rPr>
                <w:szCs w:val="18"/>
              </w:rPr>
            </w:pPr>
            <w:r>
              <w:rPr>
                <w:szCs w:val="24"/>
              </w:rPr>
              <w:t>Data Security &amp; Protection Incident Reporting Procedure</w:t>
            </w:r>
          </w:p>
        </w:tc>
        <w:tc>
          <w:tcPr>
            <w:tcW w:w="4371" w:type="dxa"/>
          </w:tcPr>
          <w:p w14:paraId="67B0686B" w14:textId="77777777" w:rsidR="00E07413" w:rsidRDefault="00E07413" w:rsidP="00E07413">
            <w:r w:rsidRPr="004D11F7">
              <w:rPr>
                <w:szCs w:val="18"/>
              </w:rPr>
              <w:t>T: Trust-wide documents</w:t>
            </w:r>
          </w:p>
        </w:tc>
      </w:tr>
      <w:tr w:rsidR="00E07413" w14:paraId="3DC28DDD" w14:textId="77777777" w:rsidTr="009D2C41">
        <w:trPr>
          <w:cantSplit/>
        </w:trPr>
        <w:tc>
          <w:tcPr>
            <w:tcW w:w="958" w:type="dxa"/>
          </w:tcPr>
          <w:p w14:paraId="00642CCA" w14:textId="77777777" w:rsidR="00E07413" w:rsidRPr="00AD736E" w:rsidRDefault="00E07413" w:rsidP="00E07413">
            <w:pPr>
              <w:rPr>
                <w:szCs w:val="18"/>
              </w:rPr>
            </w:pPr>
            <w:r>
              <w:rPr>
                <w:szCs w:val="18"/>
              </w:rPr>
              <w:t>11</w:t>
            </w:r>
          </w:p>
        </w:tc>
        <w:tc>
          <w:tcPr>
            <w:tcW w:w="4629" w:type="dxa"/>
          </w:tcPr>
          <w:p w14:paraId="1E16E5E0" w14:textId="77777777" w:rsidR="00E07413" w:rsidRPr="002E3089" w:rsidRDefault="00E07413" w:rsidP="00E07413">
            <w:pPr>
              <w:rPr>
                <w:szCs w:val="24"/>
              </w:rPr>
            </w:pPr>
            <w:r>
              <w:rPr>
                <w:szCs w:val="24"/>
              </w:rPr>
              <w:t>Clinical Record Keeping Policy</w:t>
            </w:r>
          </w:p>
        </w:tc>
        <w:tc>
          <w:tcPr>
            <w:tcW w:w="4371" w:type="dxa"/>
          </w:tcPr>
          <w:p w14:paraId="6F7D8775" w14:textId="77777777" w:rsidR="00E07413" w:rsidRDefault="00E07413" w:rsidP="00E07413">
            <w:r w:rsidRPr="004D11F7">
              <w:rPr>
                <w:szCs w:val="18"/>
              </w:rPr>
              <w:t>T: Trust-wide documents</w:t>
            </w:r>
          </w:p>
        </w:tc>
      </w:tr>
      <w:tr w:rsidR="00E07413" w14:paraId="1D0769E4" w14:textId="77777777" w:rsidTr="009D2C41">
        <w:trPr>
          <w:cantSplit/>
        </w:trPr>
        <w:tc>
          <w:tcPr>
            <w:tcW w:w="958" w:type="dxa"/>
          </w:tcPr>
          <w:p w14:paraId="6BC92296" w14:textId="77777777" w:rsidR="00E07413" w:rsidRPr="00AD736E" w:rsidRDefault="00E07413" w:rsidP="00E07413">
            <w:pPr>
              <w:rPr>
                <w:szCs w:val="18"/>
              </w:rPr>
            </w:pPr>
            <w:r>
              <w:rPr>
                <w:szCs w:val="18"/>
              </w:rPr>
              <w:t>12</w:t>
            </w:r>
          </w:p>
        </w:tc>
        <w:tc>
          <w:tcPr>
            <w:tcW w:w="4629" w:type="dxa"/>
          </w:tcPr>
          <w:p w14:paraId="1E40C363" w14:textId="5E44BD3C" w:rsidR="00E07413" w:rsidRPr="002E3089" w:rsidRDefault="00E07413" w:rsidP="00E07413">
            <w:pPr>
              <w:rPr>
                <w:szCs w:val="24"/>
              </w:rPr>
            </w:pPr>
            <w:r>
              <w:rPr>
                <w:szCs w:val="24"/>
              </w:rPr>
              <w:t xml:space="preserve">Records Management Code of Practice </w:t>
            </w:r>
            <w:r w:rsidR="00BF350D">
              <w:rPr>
                <w:szCs w:val="24"/>
              </w:rPr>
              <w:t>2021</w:t>
            </w:r>
          </w:p>
        </w:tc>
        <w:tc>
          <w:tcPr>
            <w:tcW w:w="4371" w:type="dxa"/>
          </w:tcPr>
          <w:p w14:paraId="35948036" w14:textId="77777777" w:rsidR="00E07413" w:rsidRDefault="00E07413" w:rsidP="00E07413">
            <w:r w:rsidRPr="00BD761F">
              <w:rPr>
                <w:szCs w:val="18"/>
              </w:rPr>
              <w:t>https://digital.nhs.uk</w:t>
            </w:r>
          </w:p>
        </w:tc>
      </w:tr>
      <w:tr w:rsidR="00E07413" w14:paraId="15B909F4" w14:textId="77777777" w:rsidTr="009D2C41">
        <w:trPr>
          <w:cantSplit/>
        </w:trPr>
        <w:tc>
          <w:tcPr>
            <w:tcW w:w="958" w:type="dxa"/>
          </w:tcPr>
          <w:p w14:paraId="4076143D" w14:textId="77777777" w:rsidR="00E07413" w:rsidRPr="00AD736E" w:rsidRDefault="00E07413" w:rsidP="00E07413">
            <w:pPr>
              <w:rPr>
                <w:szCs w:val="18"/>
              </w:rPr>
            </w:pPr>
            <w:r>
              <w:rPr>
                <w:szCs w:val="18"/>
              </w:rPr>
              <w:lastRenderedPageBreak/>
              <w:t>13</w:t>
            </w:r>
          </w:p>
        </w:tc>
        <w:tc>
          <w:tcPr>
            <w:tcW w:w="4629" w:type="dxa"/>
          </w:tcPr>
          <w:p w14:paraId="0CF33BC9" w14:textId="77777777" w:rsidR="00E07413" w:rsidRPr="002E3089" w:rsidRDefault="00E07413" w:rsidP="00E07413">
            <w:pPr>
              <w:rPr>
                <w:szCs w:val="24"/>
              </w:rPr>
            </w:pPr>
            <w:r>
              <w:rPr>
                <w:szCs w:val="24"/>
              </w:rPr>
              <w:t>Retention of Records Policy</w:t>
            </w:r>
          </w:p>
        </w:tc>
        <w:tc>
          <w:tcPr>
            <w:tcW w:w="4371" w:type="dxa"/>
          </w:tcPr>
          <w:p w14:paraId="6A493667" w14:textId="77777777" w:rsidR="00E07413" w:rsidRDefault="00E07413" w:rsidP="00E07413">
            <w:r w:rsidRPr="004D11F7">
              <w:rPr>
                <w:szCs w:val="18"/>
              </w:rPr>
              <w:t>T: Trust-wide documents</w:t>
            </w:r>
          </w:p>
        </w:tc>
      </w:tr>
      <w:tr w:rsidR="00E07413" w14:paraId="777A2D6C" w14:textId="77777777" w:rsidTr="009D2C41">
        <w:trPr>
          <w:cantSplit/>
        </w:trPr>
        <w:tc>
          <w:tcPr>
            <w:tcW w:w="958" w:type="dxa"/>
          </w:tcPr>
          <w:p w14:paraId="76BF84C4" w14:textId="77777777" w:rsidR="00E07413" w:rsidRPr="00AD736E" w:rsidRDefault="00E07413" w:rsidP="00E07413">
            <w:pPr>
              <w:rPr>
                <w:szCs w:val="18"/>
              </w:rPr>
            </w:pPr>
            <w:r>
              <w:rPr>
                <w:szCs w:val="18"/>
              </w:rPr>
              <w:t>14</w:t>
            </w:r>
          </w:p>
        </w:tc>
        <w:tc>
          <w:tcPr>
            <w:tcW w:w="4629" w:type="dxa"/>
          </w:tcPr>
          <w:p w14:paraId="2C555D13" w14:textId="77777777" w:rsidR="00E07413" w:rsidRPr="002E3089" w:rsidRDefault="00E07413" w:rsidP="00E07413">
            <w:pPr>
              <w:rPr>
                <w:szCs w:val="24"/>
              </w:rPr>
            </w:pPr>
            <w:r>
              <w:rPr>
                <w:szCs w:val="24"/>
              </w:rPr>
              <w:t>Data Security &amp; Protection Toolkit</w:t>
            </w:r>
          </w:p>
        </w:tc>
        <w:tc>
          <w:tcPr>
            <w:tcW w:w="4371" w:type="dxa"/>
          </w:tcPr>
          <w:p w14:paraId="61E05DC5" w14:textId="77777777" w:rsidR="00E07413" w:rsidRDefault="00E07413" w:rsidP="00E07413">
            <w:r w:rsidRPr="00BD761F">
              <w:rPr>
                <w:szCs w:val="18"/>
              </w:rPr>
              <w:t>https://www.dsptoolkit.nhs.uk/</w:t>
            </w:r>
          </w:p>
        </w:tc>
      </w:tr>
      <w:tr w:rsidR="00E07413" w14:paraId="7CAFEB37" w14:textId="77777777" w:rsidTr="009D2C41">
        <w:trPr>
          <w:cantSplit/>
        </w:trPr>
        <w:tc>
          <w:tcPr>
            <w:tcW w:w="958" w:type="dxa"/>
          </w:tcPr>
          <w:p w14:paraId="252D86CA" w14:textId="77777777" w:rsidR="00E07413" w:rsidRDefault="00E07413" w:rsidP="00E07413">
            <w:pPr>
              <w:rPr>
                <w:szCs w:val="18"/>
              </w:rPr>
            </w:pPr>
            <w:r>
              <w:rPr>
                <w:szCs w:val="18"/>
              </w:rPr>
              <w:t>15</w:t>
            </w:r>
          </w:p>
        </w:tc>
        <w:tc>
          <w:tcPr>
            <w:tcW w:w="4629" w:type="dxa"/>
          </w:tcPr>
          <w:p w14:paraId="5E98C547" w14:textId="77777777" w:rsidR="00E07413" w:rsidRDefault="00E07413" w:rsidP="00E07413">
            <w:pPr>
              <w:rPr>
                <w:szCs w:val="24"/>
              </w:rPr>
            </w:pPr>
            <w:r>
              <w:rPr>
                <w:szCs w:val="24"/>
              </w:rPr>
              <w:t>Data Security &amp; Protection Policy</w:t>
            </w:r>
          </w:p>
        </w:tc>
        <w:tc>
          <w:tcPr>
            <w:tcW w:w="4371" w:type="dxa"/>
          </w:tcPr>
          <w:p w14:paraId="25D52317" w14:textId="77777777" w:rsidR="00E07413" w:rsidRPr="00386DF6" w:rsidRDefault="00E07413" w:rsidP="00E07413">
            <w:pPr>
              <w:rPr>
                <w:i/>
                <w:color w:val="0070C0"/>
                <w:szCs w:val="18"/>
              </w:rPr>
            </w:pPr>
            <w:r w:rsidRPr="004D11F7">
              <w:rPr>
                <w:szCs w:val="18"/>
              </w:rPr>
              <w:t>T: Trust-wide documents</w:t>
            </w:r>
          </w:p>
        </w:tc>
      </w:tr>
      <w:tr w:rsidR="00E07413" w14:paraId="000FA63A" w14:textId="77777777" w:rsidTr="009D2C41">
        <w:trPr>
          <w:cantSplit/>
        </w:trPr>
        <w:tc>
          <w:tcPr>
            <w:tcW w:w="958" w:type="dxa"/>
          </w:tcPr>
          <w:p w14:paraId="03DF9039" w14:textId="77777777" w:rsidR="00E07413" w:rsidRDefault="00E07413" w:rsidP="00E07413">
            <w:pPr>
              <w:rPr>
                <w:szCs w:val="18"/>
              </w:rPr>
            </w:pPr>
            <w:r>
              <w:rPr>
                <w:szCs w:val="18"/>
              </w:rPr>
              <w:t>16</w:t>
            </w:r>
          </w:p>
        </w:tc>
        <w:tc>
          <w:tcPr>
            <w:tcW w:w="4629" w:type="dxa"/>
          </w:tcPr>
          <w:p w14:paraId="32AC9C45" w14:textId="77777777" w:rsidR="00E07413" w:rsidRDefault="00E07413" w:rsidP="00E07413">
            <w:pPr>
              <w:jc w:val="left"/>
              <w:rPr>
                <w:szCs w:val="24"/>
              </w:rPr>
            </w:pPr>
            <w:r>
              <w:rPr>
                <w:szCs w:val="24"/>
              </w:rPr>
              <w:t>Trust Incident Reporting System</w:t>
            </w:r>
          </w:p>
        </w:tc>
        <w:tc>
          <w:tcPr>
            <w:tcW w:w="4371" w:type="dxa"/>
          </w:tcPr>
          <w:p w14:paraId="22F3DA6F" w14:textId="77777777" w:rsidR="00E07413" w:rsidRPr="004D11F7" w:rsidRDefault="00D701A7" w:rsidP="00E07413">
            <w:pPr>
              <w:rPr>
                <w:szCs w:val="18"/>
              </w:rPr>
            </w:pPr>
            <w:hyperlink r:id="rId20" w:history="1">
              <w:r w:rsidR="00E07413" w:rsidRPr="00C864CC">
                <w:rPr>
                  <w:rStyle w:val="Hyperlink"/>
                  <w:szCs w:val="18"/>
                </w:rPr>
                <w:t>http://intranet/</w:t>
              </w:r>
            </w:hyperlink>
            <w:r w:rsidR="00E07413">
              <w:rPr>
                <w:szCs w:val="18"/>
              </w:rPr>
              <w:t xml:space="preserve"> </w:t>
            </w:r>
          </w:p>
        </w:tc>
      </w:tr>
      <w:tr w:rsidR="00E07413" w:rsidRPr="00E07413" w14:paraId="09E94036" w14:textId="77777777" w:rsidTr="009D2C41">
        <w:trPr>
          <w:cantSplit/>
        </w:trPr>
        <w:tc>
          <w:tcPr>
            <w:tcW w:w="958" w:type="dxa"/>
          </w:tcPr>
          <w:p w14:paraId="7368A0A3" w14:textId="77777777" w:rsidR="00E07413" w:rsidRPr="00E07413" w:rsidRDefault="00E07413" w:rsidP="00E07413">
            <w:pPr>
              <w:rPr>
                <w:szCs w:val="18"/>
              </w:rPr>
            </w:pPr>
            <w:r w:rsidRPr="00E07413">
              <w:rPr>
                <w:szCs w:val="18"/>
              </w:rPr>
              <w:t>17</w:t>
            </w:r>
          </w:p>
        </w:tc>
        <w:tc>
          <w:tcPr>
            <w:tcW w:w="4629" w:type="dxa"/>
          </w:tcPr>
          <w:p w14:paraId="0FE77572" w14:textId="77777777" w:rsidR="00E07413" w:rsidRPr="00E07413" w:rsidRDefault="00E07413" w:rsidP="00E07413">
            <w:pPr>
              <w:jc w:val="left"/>
              <w:rPr>
                <w:szCs w:val="24"/>
              </w:rPr>
            </w:pPr>
            <w:r w:rsidRPr="00E07413">
              <w:rPr>
                <w:szCs w:val="24"/>
              </w:rPr>
              <w:t>Mental Capacity Act 2005 Policy &amp; Procedures</w:t>
            </w:r>
          </w:p>
        </w:tc>
        <w:tc>
          <w:tcPr>
            <w:tcW w:w="4371" w:type="dxa"/>
          </w:tcPr>
          <w:p w14:paraId="3D914AA4" w14:textId="77777777" w:rsidR="00E07413" w:rsidRPr="00E07413" w:rsidRDefault="00E07413" w:rsidP="00E07413">
            <w:pPr>
              <w:rPr>
                <w:szCs w:val="18"/>
              </w:rPr>
            </w:pPr>
            <w:r w:rsidRPr="00E07413">
              <w:rPr>
                <w:szCs w:val="18"/>
              </w:rPr>
              <w:t>T: Trust-wide documents</w:t>
            </w:r>
          </w:p>
        </w:tc>
      </w:tr>
      <w:tr w:rsidR="00E07413" w:rsidRPr="00E07413" w14:paraId="00176A27" w14:textId="77777777" w:rsidTr="009D2C41">
        <w:trPr>
          <w:cantSplit/>
        </w:trPr>
        <w:tc>
          <w:tcPr>
            <w:tcW w:w="958" w:type="dxa"/>
          </w:tcPr>
          <w:p w14:paraId="545107CC" w14:textId="77777777" w:rsidR="00E07413" w:rsidRPr="00E07413" w:rsidRDefault="00E07413" w:rsidP="00E07413">
            <w:pPr>
              <w:rPr>
                <w:szCs w:val="18"/>
              </w:rPr>
            </w:pPr>
            <w:r>
              <w:rPr>
                <w:szCs w:val="18"/>
              </w:rPr>
              <w:t>18</w:t>
            </w:r>
          </w:p>
        </w:tc>
        <w:tc>
          <w:tcPr>
            <w:tcW w:w="4629" w:type="dxa"/>
          </w:tcPr>
          <w:p w14:paraId="43A4EF15" w14:textId="77777777" w:rsidR="00E07413" w:rsidRPr="00E07413" w:rsidRDefault="00E07413" w:rsidP="00E07413">
            <w:pPr>
              <w:jc w:val="left"/>
              <w:rPr>
                <w:szCs w:val="24"/>
              </w:rPr>
            </w:pPr>
            <w:r>
              <w:rPr>
                <w:szCs w:val="24"/>
              </w:rPr>
              <w:t>Terrorism Act 2000</w:t>
            </w:r>
          </w:p>
        </w:tc>
        <w:tc>
          <w:tcPr>
            <w:tcW w:w="4371" w:type="dxa"/>
          </w:tcPr>
          <w:p w14:paraId="2974C788" w14:textId="77777777" w:rsidR="00E07413" w:rsidRPr="00E07413" w:rsidRDefault="00D701A7" w:rsidP="004D31AB">
            <w:pPr>
              <w:rPr>
                <w:szCs w:val="18"/>
              </w:rPr>
            </w:pPr>
            <w:hyperlink r:id="rId21" w:history="1">
              <w:r w:rsidR="004D31AB" w:rsidRPr="00C864CC">
                <w:rPr>
                  <w:rStyle w:val="Hyperlink"/>
                  <w:szCs w:val="18"/>
                </w:rPr>
                <w:t>https://www.legislation.gov.uk</w:t>
              </w:r>
            </w:hyperlink>
            <w:r w:rsidR="004D31AB">
              <w:rPr>
                <w:szCs w:val="18"/>
              </w:rPr>
              <w:t xml:space="preserve"> </w:t>
            </w:r>
          </w:p>
        </w:tc>
      </w:tr>
      <w:tr w:rsidR="00E07413" w:rsidRPr="00E07413" w14:paraId="465BEE38" w14:textId="77777777" w:rsidTr="009D2C41">
        <w:trPr>
          <w:cantSplit/>
        </w:trPr>
        <w:tc>
          <w:tcPr>
            <w:tcW w:w="958" w:type="dxa"/>
          </w:tcPr>
          <w:p w14:paraId="1D50010F" w14:textId="77777777" w:rsidR="00E07413" w:rsidRPr="00E07413" w:rsidRDefault="00E07413" w:rsidP="00E07413">
            <w:pPr>
              <w:rPr>
                <w:szCs w:val="18"/>
              </w:rPr>
            </w:pPr>
            <w:r>
              <w:rPr>
                <w:szCs w:val="18"/>
              </w:rPr>
              <w:t>19</w:t>
            </w:r>
          </w:p>
        </w:tc>
        <w:tc>
          <w:tcPr>
            <w:tcW w:w="4629" w:type="dxa"/>
          </w:tcPr>
          <w:p w14:paraId="21455A58" w14:textId="77777777" w:rsidR="00E07413" w:rsidRPr="00E07413" w:rsidRDefault="00E07413" w:rsidP="00E07413">
            <w:pPr>
              <w:jc w:val="left"/>
              <w:rPr>
                <w:szCs w:val="24"/>
              </w:rPr>
            </w:pPr>
            <w:r>
              <w:rPr>
                <w:szCs w:val="24"/>
              </w:rPr>
              <w:t>Proceeds of Crime Act 2002</w:t>
            </w:r>
          </w:p>
        </w:tc>
        <w:tc>
          <w:tcPr>
            <w:tcW w:w="4371" w:type="dxa"/>
          </w:tcPr>
          <w:p w14:paraId="7CA7A46D" w14:textId="77777777" w:rsidR="00E07413" w:rsidRPr="00E07413" w:rsidRDefault="00D701A7" w:rsidP="00E07413">
            <w:pPr>
              <w:rPr>
                <w:szCs w:val="18"/>
              </w:rPr>
            </w:pPr>
            <w:hyperlink r:id="rId22" w:history="1">
              <w:r w:rsidR="004D31AB" w:rsidRPr="00C864CC">
                <w:rPr>
                  <w:rStyle w:val="Hyperlink"/>
                  <w:szCs w:val="18"/>
                </w:rPr>
                <w:t>https://www.legislation.gov.uk</w:t>
              </w:r>
            </w:hyperlink>
          </w:p>
        </w:tc>
      </w:tr>
      <w:tr w:rsidR="00E07413" w:rsidRPr="00E07413" w14:paraId="7239ED3C" w14:textId="77777777" w:rsidTr="009D2C41">
        <w:trPr>
          <w:cantSplit/>
        </w:trPr>
        <w:tc>
          <w:tcPr>
            <w:tcW w:w="958" w:type="dxa"/>
          </w:tcPr>
          <w:p w14:paraId="4FCEC7AA" w14:textId="77777777" w:rsidR="00E07413" w:rsidRPr="00E07413" w:rsidRDefault="00E07413" w:rsidP="00E07413">
            <w:pPr>
              <w:rPr>
                <w:szCs w:val="18"/>
              </w:rPr>
            </w:pPr>
            <w:r>
              <w:rPr>
                <w:szCs w:val="18"/>
              </w:rPr>
              <w:t>20</w:t>
            </w:r>
          </w:p>
        </w:tc>
        <w:tc>
          <w:tcPr>
            <w:tcW w:w="4629" w:type="dxa"/>
          </w:tcPr>
          <w:p w14:paraId="4ACE9F1F" w14:textId="77777777" w:rsidR="00E07413" w:rsidRPr="00E07413" w:rsidRDefault="00E07413" w:rsidP="00E07413">
            <w:pPr>
              <w:jc w:val="left"/>
              <w:rPr>
                <w:szCs w:val="24"/>
              </w:rPr>
            </w:pPr>
            <w:r w:rsidRPr="00E07413">
              <w:rPr>
                <w:szCs w:val="24"/>
              </w:rPr>
              <w:t>Working Together to Safeguard Children 2018</w:t>
            </w:r>
          </w:p>
        </w:tc>
        <w:tc>
          <w:tcPr>
            <w:tcW w:w="4371" w:type="dxa"/>
          </w:tcPr>
          <w:p w14:paraId="73BB4459" w14:textId="77777777" w:rsidR="00E07413" w:rsidRPr="00E07413" w:rsidRDefault="00D701A7" w:rsidP="00E07413">
            <w:pPr>
              <w:rPr>
                <w:szCs w:val="18"/>
              </w:rPr>
            </w:pPr>
            <w:hyperlink r:id="rId23" w:history="1">
              <w:r w:rsidR="00E07413" w:rsidRPr="00C864CC">
                <w:rPr>
                  <w:rStyle w:val="Hyperlink"/>
                </w:rPr>
                <w:t>https://www.gov.uk</w:t>
              </w:r>
            </w:hyperlink>
          </w:p>
        </w:tc>
      </w:tr>
      <w:tr w:rsidR="00E07413" w:rsidRPr="00E07413" w14:paraId="7831804E" w14:textId="77777777" w:rsidTr="009D2C41">
        <w:trPr>
          <w:cantSplit/>
        </w:trPr>
        <w:tc>
          <w:tcPr>
            <w:tcW w:w="958" w:type="dxa"/>
          </w:tcPr>
          <w:p w14:paraId="334F0E02" w14:textId="77777777" w:rsidR="00E07413" w:rsidRPr="00E07413" w:rsidRDefault="00E07413" w:rsidP="00E07413">
            <w:pPr>
              <w:rPr>
                <w:szCs w:val="18"/>
              </w:rPr>
            </w:pPr>
            <w:r>
              <w:rPr>
                <w:szCs w:val="18"/>
              </w:rPr>
              <w:t>21</w:t>
            </w:r>
          </w:p>
        </w:tc>
        <w:tc>
          <w:tcPr>
            <w:tcW w:w="4629" w:type="dxa"/>
          </w:tcPr>
          <w:p w14:paraId="7AD93C43" w14:textId="77777777" w:rsidR="00E07413" w:rsidRPr="00E07413" w:rsidRDefault="00E07413" w:rsidP="00E07413">
            <w:pPr>
              <w:jc w:val="left"/>
              <w:rPr>
                <w:szCs w:val="24"/>
              </w:rPr>
            </w:pPr>
            <w:r w:rsidRPr="00E07413">
              <w:rPr>
                <w:szCs w:val="24"/>
              </w:rPr>
              <w:t>Information Sharing Advice for Practitioners Providing Safeguarding Services</w:t>
            </w:r>
          </w:p>
        </w:tc>
        <w:tc>
          <w:tcPr>
            <w:tcW w:w="4371" w:type="dxa"/>
          </w:tcPr>
          <w:p w14:paraId="7AE9D8DD" w14:textId="77777777" w:rsidR="00E07413" w:rsidRPr="00E07413" w:rsidRDefault="00D701A7" w:rsidP="00E07413">
            <w:pPr>
              <w:rPr>
                <w:szCs w:val="18"/>
              </w:rPr>
            </w:pPr>
            <w:hyperlink r:id="rId24" w:history="1">
              <w:r w:rsidR="00E07413" w:rsidRPr="00C864CC">
                <w:rPr>
                  <w:rStyle w:val="Hyperlink"/>
                </w:rPr>
                <w:t>https://www.gov.uk</w:t>
              </w:r>
            </w:hyperlink>
          </w:p>
        </w:tc>
      </w:tr>
      <w:tr w:rsidR="00E07413" w:rsidRPr="00E07413" w14:paraId="42162A9F" w14:textId="77777777" w:rsidTr="009D2C41">
        <w:trPr>
          <w:cantSplit/>
        </w:trPr>
        <w:tc>
          <w:tcPr>
            <w:tcW w:w="958" w:type="dxa"/>
          </w:tcPr>
          <w:p w14:paraId="1E143171" w14:textId="77777777" w:rsidR="00E07413" w:rsidRPr="00E07413" w:rsidRDefault="00E07413" w:rsidP="00E07413">
            <w:pPr>
              <w:rPr>
                <w:szCs w:val="18"/>
              </w:rPr>
            </w:pPr>
            <w:r>
              <w:rPr>
                <w:szCs w:val="18"/>
              </w:rPr>
              <w:t>22</w:t>
            </w:r>
          </w:p>
        </w:tc>
        <w:tc>
          <w:tcPr>
            <w:tcW w:w="4629" w:type="dxa"/>
          </w:tcPr>
          <w:p w14:paraId="07B96E55" w14:textId="77777777" w:rsidR="00E07413" w:rsidRPr="00E07413" w:rsidRDefault="00E07413" w:rsidP="00E07413">
            <w:pPr>
              <w:jc w:val="left"/>
              <w:rPr>
                <w:szCs w:val="24"/>
              </w:rPr>
            </w:pPr>
            <w:r>
              <w:rPr>
                <w:szCs w:val="24"/>
              </w:rPr>
              <w:t>Health and Social Care Act 2008</w:t>
            </w:r>
          </w:p>
        </w:tc>
        <w:tc>
          <w:tcPr>
            <w:tcW w:w="4371" w:type="dxa"/>
          </w:tcPr>
          <w:p w14:paraId="6FCA61C8" w14:textId="77777777" w:rsidR="00E07413" w:rsidRPr="00E07413" w:rsidRDefault="00D701A7" w:rsidP="00E07413">
            <w:pPr>
              <w:rPr>
                <w:szCs w:val="18"/>
              </w:rPr>
            </w:pPr>
            <w:hyperlink r:id="rId25" w:history="1">
              <w:r w:rsidR="004D31AB" w:rsidRPr="00C864CC">
                <w:rPr>
                  <w:rStyle w:val="Hyperlink"/>
                  <w:szCs w:val="18"/>
                </w:rPr>
                <w:t>https://www.legislation.gov.uk</w:t>
              </w:r>
            </w:hyperlink>
          </w:p>
        </w:tc>
      </w:tr>
      <w:tr w:rsidR="00E07413" w14:paraId="6EAFEA3C" w14:textId="77777777" w:rsidTr="009D2C41">
        <w:trPr>
          <w:cantSplit/>
        </w:trPr>
        <w:tc>
          <w:tcPr>
            <w:tcW w:w="958" w:type="dxa"/>
          </w:tcPr>
          <w:p w14:paraId="676DDE11" w14:textId="77777777" w:rsidR="00E07413" w:rsidRDefault="00E07413" w:rsidP="00E07413">
            <w:pPr>
              <w:rPr>
                <w:szCs w:val="18"/>
              </w:rPr>
            </w:pPr>
            <w:r>
              <w:rPr>
                <w:szCs w:val="18"/>
              </w:rPr>
              <w:t>23</w:t>
            </w:r>
          </w:p>
        </w:tc>
        <w:tc>
          <w:tcPr>
            <w:tcW w:w="4629" w:type="dxa"/>
          </w:tcPr>
          <w:p w14:paraId="7CED16E0" w14:textId="77777777" w:rsidR="00E07413" w:rsidRDefault="00E07413" w:rsidP="00E07413">
            <w:pPr>
              <w:jc w:val="left"/>
              <w:rPr>
                <w:szCs w:val="24"/>
              </w:rPr>
            </w:pPr>
            <w:r>
              <w:rPr>
                <w:szCs w:val="24"/>
              </w:rPr>
              <w:t>Nursing and Midwifery Order 2001</w:t>
            </w:r>
          </w:p>
        </w:tc>
        <w:tc>
          <w:tcPr>
            <w:tcW w:w="4371" w:type="dxa"/>
          </w:tcPr>
          <w:p w14:paraId="2E939460" w14:textId="77777777" w:rsidR="00E07413" w:rsidRPr="004D11F7" w:rsidRDefault="00D701A7" w:rsidP="00E07413">
            <w:pPr>
              <w:rPr>
                <w:szCs w:val="18"/>
              </w:rPr>
            </w:pPr>
            <w:hyperlink r:id="rId26" w:history="1">
              <w:r w:rsidR="004D31AB" w:rsidRPr="00C864CC">
                <w:rPr>
                  <w:rStyle w:val="Hyperlink"/>
                  <w:szCs w:val="18"/>
                </w:rPr>
                <w:t>https://www.legislation.gov.uk</w:t>
              </w:r>
            </w:hyperlink>
          </w:p>
        </w:tc>
      </w:tr>
      <w:tr w:rsidR="00E07413" w14:paraId="00C1D60F" w14:textId="77777777" w:rsidTr="009D2C41">
        <w:trPr>
          <w:cantSplit/>
        </w:trPr>
        <w:tc>
          <w:tcPr>
            <w:tcW w:w="958" w:type="dxa"/>
          </w:tcPr>
          <w:p w14:paraId="6DB9E4F3" w14:textId="77777777" w:rsidR="00E07413" w:rsidRDefault="00E07413" w:rsidP="00E07413">
            <w:pPr>
              <w:rPr>
                <w:szCs w:val="18"/>
              </w:rPr>
            </w:pPr>
            <w:r>
              <w:rPr>
                <w:szCs w:val="18"/>
              </w:rPr>
              <w:t>24</w:t>
            </w:r>
          </w:p>
        </w:tc>
        <w:tc>
          <w:tcPr>
            <w:tcW w:w="4629" w:type="dxa"/>
          </w:tcPr>
          <w:p w14:paraId="0F912083" w14:textId="77777777" w:rsidR="00E07413" w:rsidRDefault="00E07413" w:rsidP="00E07413">
            <w:pPr>
              <w:jc w:val="left"/>
              <w:rPr>
                <w:szCs w:val="24"/>
              </w:rPr>
            </w:pPr>
            <w:r>
              <w:rPr>
                <w:szCs w:val="24"/>
              </w:rPr>
              <w:t>Medical Act 1983</w:t>
            </w:r>
          </w:p>
        </w:tc>
        <w:tc>
          <w:tcPr>
            <w:tcW w:w="4371" w:type="dxa"/>
          </w:tcPr>
          <w:p w14:paraId="4D98FA29" w14:textId="77777777" w:rsidR="00E07413" w:rsidRPr="004D11F7" w:rsidRDefault="00D701A7" w:rsidP="00E07413">
            <w:pPr>
              <w:rPr>
                <w:szCs w:val="18"/>
              </w:rPr>
            </w:pPr>
            <w:hyperlink r:id="rId27" w:history="1">
              <w:r w:rsidR="004D31AB" w:rsidRPr="00C864CC">
                <w:rPr>
                  <w:rStyle w:val="Hyperlink"/>
                  <w:szCs w:val="18"/>
                </w:rPr>
                <w:t>https://www.legislation.gov.uk</w:t>
              </w:r>
            </w:hyperlink>
          </w:p>
        </w:tc>
      </w:tr>
      <w:tr w:rsidR="00E07413" w14:paraId="27605389" w14:textId="77777777" w:rsidTr="009D2C41">
        <w:trPr>
          <w:cantSplit/>
        </w:trPr>
        <w:tc>
          <w:tcPr>
            <w:tcW w:w="958" w:type="dxa"/>
          </w:tcPr>
          <w:p w14:paraId="273DA4CA" w14:textId="77777777" w:rsidR="00E07413" w:rsidRDefault="00E07413" w:rsidP="00E07413">
            <w:pPr>
              <w:rPr>
                <w:szCs w:val="18"/>
              </w:rPr>
            </w:pPr>
            <w:r>
              <w:rPr>
                <w:szCs w:val="18"/>
              </w:rPr>
              <w:t>25</w:t>
            </w:r>
          </w:p>
        </w:tc>
        <w:tc>
          <w:tcPr>
            <w:tcW w:w="4629" w:type="dxa"/>
          </w:tcPr>
          <w:p w14:paraId="02E79ABA" w14:textId="77777777" w:rsidR="00E07413" w:rsidRDefault="00E07413" w:rsidP="00E07413">
            <w:pPr>
              <w:jc w:val="left"/>
              <w:rPr>
                <w:szCs w:val="24"/>
              </w:rPr>
            </w:pPr>
            <w:r>
              <w:rPr>
                <w:szCs w:val="24"/>
              </w:rPr>
              <w:t>Ombudsmen Health Service Commissions Act 1993</w:t>
            </w:r>
          </w:p>
        </w:tc>
        <w:tc>
          <w:tcPr>
            <w:tcW w:w="4371" w:type="dxa"/>
          </w:tcPr>
          <w:p w14:paraId="0A27792C" w14:textId="77777777" w:rsidR="00E07413" w:rsidRPr="004D11F7" w:rsidRDefault="00D701A7" w:rsidP="00E07413">
            <w:pPr>
              <w:rPr>
                <w:szCs w:val="18"/>
              </w:rPr>
            </w:pPr>
            <w:hyperlink r:id="rId28" w:history="1">
              <w:r w:rsidR="004D31AB" w:rsidRPr="00C864CC">
                <w:rPr>
                  <w:rStyle w:val="Hyperlink"/>
                  <w:szCs w:val="18"/>
                </w:rPr>
                <w:t>https://www.legislation.gov.uk</w:t>
              </w:r>
            </w:hyperlink>
          </w:p>
        </w:tc>
      </w:tr>
      <w:tr w:rsidR="00E07413" w14:paraId="2261F5E8" w14:textId="77777777" w:rsidTr="009D2C41">
        <w:trPr>
          <w:cantSplit/>
        </w:trPr>
        <w:tc>
          <w:tcPr>
            <w:tcW w:w="958" w:type="dxa"/>
          </w:tcPr>
          <w:p w14:paraId="3571669F" w14:textId="77777777" w:rsidR="00E07413" w:rsidRDefault="00E07413" w:rsidP="00E07413">
            <w:pPr>
              <w:rPr>
                <w:szCs w:val="18"/>
              </w:rPr>
            </w:pPr>
            <w:r>
              <w:rPr>
                <w:szCs w:val="18"/>
              </w:rPr>
              <w:t>26</w:t>
            </w:r>
          </w:p>
        </w:tc>
        <w:tc>
          <w:tcPr>
            <w:tcW w:w="4629" w:type="dxa"/>
          </w:tcPr>
          <w:p w14:paraId="5A7AA904" w14:textId="77777777" w:rsidR="00E07413" w:rsidRDefault="00E07413" w:rsidP="00E07413">
            <w:pPr>
              <w:jc w:val="left"/>
              <w:rPr>
                <w:szCs w:val="24"/>
              </w:rPr>
            </w:pPr>
            <w:r>
              <w:rPr>
                <w:szCs w:val="24"/>
              </w:rPr>
              <w:t>Health and Social Care Act 2012</w:t>
            </w:r>
          </w:p>
        </w:tc>
        <w:tc>
          <w:tcPr>
            <w:tcW w:w="4371" w:type="dxa"/>
          </w:tcPr>
          <w:p w14:paraId="2EB2F4B1" w14:textId="77777777" w:rsidR="00E07413" w:rsidRPr="004D11F7" w:rsidRDefault="00D701A7" w:rsidP="00E07413">
            <w:pPr>
              <w:rPr>
                <w:szCs w:val="18"/>
              </w:rPr>
            </w:pPr>
            <w:hyperlink r:id="rId29" w:history="1">
              <w:r w:rsidR="004D31AB" w:rsidRPr="00C864CC">
                <w:rPr>
                  <w:rStyle w:val="Hyperlink"/>
                  <w:szCs w:val="18"/>
                </w:rPr>
                <w:t>https://www.legislation.gov.uk</w:t>
              </w:r>
            </w:hyperlink>
          </w:p>
        </w:tc>
      </w:tr>
      <w:tr w:rsidR="004D31AB" w14:paraId="2D2453FB" w14:textId="77777777" w:rsidTr="009D2C41">
        <w:trPr>
          <w:cantSplit/>
        </w:trPr>
        <w:tc>
          <w:tcPr>
            <w:tcW w:w="958" w:type="dxa"/>
          </w:tcPr>
          <w:p w14:paraId="23238353" w14:textId="77777777" w:rsidR="004D31AB" w:rsidRDefault="004D31AB" w:rsidP="00E07413">
            <w:pPr>
              <w:rPr>
                <w:szCs w:val="18"/>
              </w:rPr>
            </w:pPr>
            <w:r>
              <w:rPr>
                <w:szCs w:val="18"/>
              </w:rPr>
              <w:t>27</w:t>
            </w:r>
          </w:p>
        </w:tc>
        <w:tc>
          <w:tcPr>
            <w:tcW w:w="4629" w:type="dxa"/>
          </w:tcPr>
          <w:p w14:paraId="2471C9EA" w14:textId="77777777" w:rsidR="004D31AB" w:rsidRDefault="004D31AB" w:rsidP="00D230BA">
            <w:pPr>
              <w:jc w:val="left"/>
              <w:rPr>
                <w:szCs w:val="24"/>
              </w:rPr>
            </w:pPr>
            <w:r>
              <w:rPr>
                <w:szCs w:val="24"/>
              </w:rPr>
              <w:t>Health Records Subject Access Requests Procedure</w:t>
            </w:r>
          </w:p>
        </w:tc>
        <w:tc>
          <w:tcPr>
            <w:tcW w:w="4371" w:type="dxa"/>
          </w:tcPr>
          <w:p w14:paraId="3C5BE9C7" w14:textId="77777777" w:rsidR="004D31AB" w:rsidRDefault="004D31AB" w:rsidP="00D230BA">
            <w:pPr>
              <w:rPr>
                <w:szCs w:val="18"/>
              </w:rPr>
            </w:pPr>
            <w:r w:rsidRPr="004D11F7">
              <w:rPr>
                <w:szCs w:val="18"/>
              </w:rPr>
              <w:t>T: Trust-wide documents</w:t>
            </w:r>
          </w:p>
        </w:tc>
      </w:tr>
      <w:tr w:rsidR="004D31AB" w14:paraId="78BF3179" w14:textId="77777777" w:rsidTr="009D2C41">
        <w:trPr>
          <w:cantSplit/>
        </w:trPr>
        <w:tc>
          <w:tcPr>
            <w:tcW w:w="958" w:type="dxa"/>
          </w:tcPr>
          <w:p w14:paraId="65B6921B" w14:textId="77777777" w:rsidR="004D31AB" w:rsidRDefault="004D31AB" w:rsidP="00E07413">
            <w:pPr>
              <w:rPr>
                <w:szCs w:val="18"/>
              </w:rPr>
            </w:pPr>
            <w:r>
              <w:rPr>
                <w:szCs w:val="18"/>
              </w:rPr>
              <w:t>28</w:t>
            </w:r>
          </w:p>
        </w:tc>
        <w:tc>
          <w:tcPr>
            <w:tcW w:w="4629" w:type="dxa"/>
          </w:tcPr>
          <w:p w14:paraId="2810126B" w14:textId="0E1C92EC" w:rsidR="004D31AB" w:rsidRDefault="004D31AB" w:rsidP="00E07413">
            <w:pPr>
              <w:jc w:val="left"/>
              <w:rPr>
                <w:szCs w:val="24"/>
              </w:rPr>
            </w:pPr>
            <w:r>
              <w:rPr>
                <w:szCs w:val="24"/>
              </w:rPr>
              <w:t xml:space="preserve">Records Management Code of Practice </w:t>
            </w:r>
            <w:r w:rsidR="00BF350D">
              <w:rPr>
                <w:szCs w:val="24"/>
              </w:rPr>
              <w:t>2021</w:t>
            </w:r>
          </w:p>
        </w:tc>
        <w:tc>
          <w:tcPr>
            <w:tcW w:w="4371" w:type="dxa"/>
          </w:tcPr>
          <w:p w14:paraId="0B9F48F9" w14:textId="77777777" w:rsidR="004D31AB" w:rsidRPr="004D11F7" w:rsidRDefault="00D701A7" w:rsidP="004D31AB">
            <w:pPr>
              <w:rPr>
                <w:szCs w:val="18"/>
              </w:rPr>
            </w:pPr>
            <w:hyperlink r:id="rId30" w:history="1">
              <w:r w:rsidR="004D31AB" w:rsidRPr="00C864CC">
                <w:rPr>
                  <w:rStyle w:val="Hyperlink"/>
                  <w:szCs w:val="18"/>
                </w:rPr>
                <w:t>https://digital.nhs.uk</w:t>
              </w:r>
            </w:hyperlink>
            <w:r w:rsidR="004D31AB">
              <w:rPr>
                <w:szCs w:val="18"/>
              </w:rPr>
              <w:t xml:space="preserve"> </w:t>
            </w:r>
          </w:p>
        </w:tc>
      </w:tr>
      <w:tr w:rsidR="004D31AB" w14:paraId="66F2971F" w14:textId="77777777" w:rsidTr="009D2C41">
        <w:trPr>
          <w:cantSplit/>
        </w:trPr>
        <w:tc>
          <w:tcPr>
            <w:tcW w:w="958" w:type="dxa"/>
          </w:tcPr>
          <w:p w14:paraId="59D9F7ED" w14:textId="77777777" w:rsidR="004D31AB" w:rsidRDefault="004D31AB" w:rsidP="00E07413">
            <w:pPr>
              <w:rPr>
                <w:szCs w:val="18"/>
              </w:rPr>
            </w:pPr>
            <w:r>
              <w:rPr>
                <w:szCs w:val="18"/>
              </w:rPr>
              <w:t>29</w:t>
            </w:r>
          </w:p>
        </w:tc>
        <w:tc>
          <w:tcPr>
            <w:tcW w:w="4629" w:type="dxa"/>
          </w:tcPr>
          <w:p w14:paraId="1A091A70" w14:textId="77777777" w:rsidR="004D31AB" w:rsidRDefault="004D31AB" w:rsidP="00E07413">
            <w:pPr>
              <w:jc w:val="left"/>
              <w:rPr>
                <w:szCs w:val="24"/>
              </w:rPr>
            </w:pPr>
            <w:r>
              <w:rPr>
                <w:szCs w:val="24"/>
              </w:rPr>
              <w:t>Data Quality Policy</w:t>
            </w:r>
          </w:p>
        </w:tc>
        <w:tc>
          <w:tcPr>
            <w:tcW w:w="4371" w:type="dxa"/>
          </w:tcPr>
          <w:p w14:paraId="6A47FE45" w14:textId="77777777" w:rsidR="004D31AB" w:rsidRPr="004D11F7" w:rsidRDefault="004D31AB" w:rsidP="00E07413">
            <w:pPr>
              <w:rPr>
                <w:szCs w:val="18"/>
              </w:rPr>
            </w:pPr>
            <w:r w:rsidRPr="004D11F7">
              <w:rPr>
                <w:szCs w:val="18"/>
              </w:rPr>
              <w:t>T: Trust-wide documents</w:t>
            </w:r>
          </w:p>
        </w:tc>
      </w:tr>
      <w:tr w:rsidR="004D31AB" w14:paraId="6D487AC5" w14:textId="77777777" w:rsidTr="009D2C41">
        <w:trPr>
          <w:cantSplit/>
        </w:trPr>
        <w:tc>
          <w:tcPr>
            <w:tcW w:w="958" w:type="dxa"/>
          </w:tcPr>
          <w:p w14:paraId="039C7C59" w14:textId="77777777" w:rsidR="004D31AB" w:rsidRDefault="004D31AB" w:rsidP="00E07413">
            <w:pPr>
              <w:rPr>
                <w:szCs w:val="18"/>
              </w:rPr>
            </w:pPr>
            <w:r>
              <w:rPr>
                <w:szCs w:val="18"/>
              </w:rPr>
              <w:t>30</w:t>
            </w:r>
          </w:p>
        </w:tc>
        <w:tc>
          <w:tcPr>
            <w:tcW w:w="4629" w:type="dxa"/>
          </w:tcPr>
          <w:p w14:paraId="255B0E04" w14:textId="77777777" w:rsidR="004D31AB" w:rsidRDefault="004D31AB" w:rsidP="00E07413">
            <w:pPr>
              <w:jc w:val="left"/>
              <w:rPr>
                <w:szCs w:val="24"/>
              </w:rPr>
            </w:pPr>
            <w:r>
              <w:rPr>
                <w:szCs w:val="24"/>
              </w:rPr>
              <w:t>NHS Mail Acceptable Use Policy</w:t>
            </w:r>
          </w:p>
        </w:tc>
        <w:tc>
          <w:tcPr>
            <w:tcW w:w="4371" w:type="dxa"/>
          </w:tcPr>
          <w:p w14:paraId="31358552" w14:textId="77777777" w:rsidR="004D31AB" w:rsidRPr="004D11F7" w:rsidRDefault="00D701A7" w:rsidP="004D31AB">
            <w:pPr>
              <w:rPr>
                <w:szCs w:val="18"/>
              </w:rPr>
            </w:pPr>
            <w:hyperlink r:id="rId31" w:history="1">
              <w:r w:rsidR="004D31AB" w:rsidRPr="00C864CC">
                <w:rPr>
                  <w:rStyle w:val="Hyperlink"/>
                  <w:szCs w:val="18"/>
                </w:rPr>
                <w:t>https://portal.nhs.net</w:t>
              </w:r>
            </w:hyperlink>
            <w:r w:rsidR="004D31AB">
              <w:rPr>
                <w:szCs w:val="18"/>
              </w:rPr>
              <w:t xml:space="preserve"> </w:t>
            </w:r>
          </w:p>
        </w:tc>
      </w:tr>
      <w:tr w:rsidR="00347B6F" w14:paraId="1B8D4966" w14:textId="77777777" w:rsidTr="009D2C41">
        <w:trPr>
          <w:cantSplit/>
        </w:trPr>
        <w:tc>
          <w:tcPr>
            <w:tcW w:w="958" w:type="dxa"/>
          </w:tcPr>
          <w:p w14:paraId="109ACB8F" w14:textId="77777777" w:rsidR="00347B6F" w:rsidRDefault="00347B6F" w:rsidP="00E07413">
            <w:pPr>
              <w:rPr>
                <w:szCs w:val="18"/>
              </w:rPr>
            </w:pPr>
            <w:r>
              <w:rPr>
                <w:szCs w:val="18"/>
              </w:rPr>
              <w:t>31</w:t>
            </w:r>
          </w:p>
        </w:tc>
        <w:tc>
          <w:tcPr>
            <w:tcW w:w="4629" w:type="dxa"/>
          </w:tcPr>
          <w:p w14:paraId="1D7FE752" w14:textId="77777777" w:rsidR="00347B6F" w:rsidRDefault="00347B6F" w:rsidP="00347B6F">
            <w:pPr>
              <w:jc w:val="left"/>
              <w:rPr>
                <w:szCs w:val="24"/>
              </w:rPr>
            </w:pPr>
            <w:r w:rsidRPr="00373B35">
              <w:t xml:space="preserve">EU (Withdrawal) Act </w:t>
            </w:r>
          </w:p>
        </w:tc>
        <w:tc>
          <w:tcPr>
            <w:tcW w:w="4371" w:type="dxa"/>
          </w:tcPr>
          <w:p w14:paraId="4ED9FB5F" w14:textId="77777777" w:rsidR="00347B6F" w:rsidRDefault="00D701A7" w:rsidP="004D31AB">
            <w:hyperlink r:id="rId32" w:history="1">
              <w:r w:rsidR="00347B6F" w:rsidRPr="00C864CC">
                <w:rPr>
                  <w:rStyle w:val="Hyperlink"/>
                  <w:szCs w:val="18"/>
                </w:rPr>
                <w:t>https://www.legislation.gov.uk</w:t>
              </w:r>
            </w:hyperlink>
          </w:p>
        </w:tc>
      </w:tr>
    </w:tbl>
    <w:p w14:paraId="16459863" w14:textId="77777777" w:rsidR="00607896" w:rsidRPr="00552106" w:rsidRDefault="00607896" w:rsidP="00607896">
      <w:pPr>
        <w:pStyle w:val="Heading2"/>
        <w:keepLines w:val="0"/>
        <w:numPr>
          <w:ilvl w:val="1"/>
          <w:numId w:val="25"/>
        </w:numPr>
        <w:spacing w:before="360" w:after="120"/>
        <w:ind w:left="1134" w:hanging="1134"/>
        <w:jc w:val="left"/>
      </w:pPr>
      <w:bookmarkStart w:id="119" w:name="_Toc379448633"/>
      <w:bookmarkStart w:id="120" w:name="_Toc427155054"/>
      <w:bookmarkStart w:id="121" w:name="_Toc522191580"/>
      <w:bookmarkStart w:id="122" w:name="_Toc522194976"/>
      <w:bookmarkStart w:id="123" w:name="_Toc522265730"/>
      <w:bookmarkStart w:id="124" w:name="_Toc523221624"/>
      <w:bookmarkStart w:id="125" w:name="_Toc523223522"/>
      <w:bookmarkStart w:id="126" w:name="_Toc84321250"/>
      <w:r w:rsidRPr="00552106">
        <w:t>Consultation Process</w:t>
      </w:r>
      <w:bookmarkEnd w:id="119"/>
      <w:bookmarkEnd w:id="120"/>
      <w:bookmarkEnd w:id="121"/>
      <w:bookmarkEnd w:id="122"/>
      <w:bookmarkEnd w:id="123"/>
      <w:bookmarkEnd w:id="124"/>
      <w:bookmarkEnd w:id="125"/>
      <w:bookmarkEnd w:id="126"/>
    </w:p>
    <w:p w14:paraId="06F3C8A3" w14:textId="77777777" w:rsidR="00607896" w:rsidRDefault="00607896" w:rsidP="00607896">
      <w:pPr>
        <w:rPr>
          <w:szCs w:val="22"/>
        </w:rPr>
      </w:pPr>
      <w:r w:rsidRPr="00B009B7">
        <w:rPr>
          <w:szCs w:val="22"/>
        </w:rPr>
        <w:t xml:space="preserve">The following is a list of </w:t>
      </w:r>
      <w:r>
        <w:rPr>
          <w:szCs w:val="22"/>
        </w:rPr>
        <w:t>consultee</w:t>
      </w:r>
      <w:r w:rsidRPr="00B009B7">
        <w:rPr>
          <w:szCs w:val="22"/>
        </w:rPr>
        <w:t>s</w:t>
      </w:r>
      <w:r>
        <w:rPr>
          <w:szCs w:val="22"/>
        </w:rPr>
        <w:t xml:space="preserve"> in formulating this document and the date that they approved the document</w:t>
      </w:r>
      <w:r w:rsidRPr="00B009B7">
        <w:rPr>
          <w:szCs w:val="22"/>
        </w:rPr>
        <w:t>:</w:t>
      </w:r>
    </w:p>
    <w:p w14:paraId="5164D14E" w14:textId="77777777" w:rsidR="00607896" w:rsidRPr="00B009B7" w:rsidRDefault="00607896" w:rsidP="0060789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570"/>
        <w:gridCol w:w="2412"/>
      </w:tblGrid>
      <w:tr w:rsidR="00607896" w14:paraId="5B1A7660" w14:textId="77777777" w:rsidTr="009D2C41">
        <w:trPr>
          <w:cantSplit/>
          <w:tblHeader/>
        </w:trPr>
        <w:tc>
          <w:tcPr>
            <w:tcW w:w="3792" w:type="pct"/>
            <w:shd w:val="pct10" w:color="auto" w:fill="auto"/>
          </w:tcPr>
          <w:p w14:paraId="23BE911A" w14:textId="77777777" w:rsidR="00607896" w:rsidRPr="00AD736E" w:rsidRDefault="00607896" w:rsidP="004D11F7">
            <w:pPr>
              <w:rPr>
                <w:b/>
                <w:sz w:val="20"/>
                <w:szCs w:val="18"/>
              </w:rPr>
            </w:pPr>
            <w:r>
              <w:rPr>
                <w:b/>
                <w:sz w:val="20"/>
                <w:szCs w:val="18"/>
              </w:rPr>
              <w:t xml:space="preserve">Job Title / Department </w:t>
            </w:r>
          </w:p>
        </w:tc>
        <w:tc>
          <w:tcPr>
            <w:tcW w:w="1208" w:type="pct"/>
            <w:shd w:val="pct10" w:color="auto" w:fill="auto"/>
          </w:tcPr>
          <w:p w14:paraId="60D15E45" w14:textId="77777777" w:rsidR="00607896" w:rsidRPr="00441637" w:rsidRDefault="00607896" w:rsidP="009D2C41">
            <w:pPr>
              <w:rPr>
                <w:b/>
                <w:sz w:val="20"/>
                <w:szCs w:val="18"/>
                <w:highlight w:val="yellow"/>
              </w:rPr>
            </w:pPr>
            <w:r w:rsidRPr="00BC7FC0">
              <w:rPr>
                <w:b/>
                <w:sz w:val="20"/>
                <w:szCs w:val="18"/>
              </w:rPr>
              <w:t>Date Consultee Agreed Document Contents</w:t>
            </w:r>
          </w:p>
        </w:tc>
      </w:tr>
      <w:tr w:rsidR="0014566B" w14:paraId="1C01C34C" w14:textId="77777777" w:rsidTr="009D2C41">
        <w:trPr>
          <w:cantSplit/>
        </w:trPr>
        <w:tc>
          <w:tcPr>
            <w:tcW w:w="3792" w:type="pct"/>
          </w:tcPr>
          <w:p w14:paraId="213C1DA3" w14:textId="0514A6FB" w:rsidR="0014566B" w:rsidRPr="002E3089" w:rsidRDefault="00B404C4" w:rsidP="00D230BA">
            <w:pPr>
              <w:jc w:val="left"/>
              <w:rPr>
                <w:szCs w:val="18"/>
              </w:rPr>
            </w:pPr>
            <w:r w:rsidRPr="00B404C4">
              <w:rPr>
                <w:szCs w:val="18"/>
              </w:rPr>
              <w:t>Security Manager (Head of On-Site Security)</w:t>
            </w:r>
            <w:r>
              <w:rPr>
                <w:szCs w:val="18"/>
              </w:rPr>
              <w:t xml:space="preserve"> (Serco)</w:t>
            </w:r>
          </w:p>
        </w:tc>
        <w:tc>
          <w:tcPr>
            <w:tcW w:w="1208" w:type="pct"/>
          </w:tcPr>
          <w:p w14:paraId="1A49CB1C" w14:textId="3ABACB2B" w:rsidR="0014566B" w:rsidRPr="00CA6F3C" w:rsidRDefault="00B404C4" w:rsidP="009D2C41">
            <w:pPr>
              <w:rPr>
                <w:szCs w:val="24"/>
              </w:rPr>
            </w:pPr>
            <w:r>
              <w:rPr>
                <w:szCs w:val="24"/>
              </w:rPr>
              <w:t>19 October 2021</w:t>
            </w:r>
          </w:p>
        </w:tc>
      </w:tr>
      <w:tr w:rsidR="000C3285" w14:paraId="03290DFF" w14:textId="77777777" w:rsidTr="009D2C41">
        <w:trPr>
          <w:cantSplit/>
        </w:trPr>
        <w:tc>
          <w:tcPr>
            <w:tcW w:w="3792" w:type="pct"/>
          </w:tcPr>
          <w:p w14:paraId="32840419" w14:textId="697F7A40" w:rsidR="000C3285" w:rsidRPr="00B404C4" w:rsidRDefault="000C3285" w:rsidP="00D230BA">
            <w:pPr>
              <w:jc w:val="left"/>
              <w:rPr>
                <w:szCs w:val="18"/>
              </w:rPr>
            </w:pPr>
            <w:r>
              <w:rPr>
                <w:szCs w:val="18"/>
              </w:rPr>
              <w:t>Security Advisory Group</w:t>
            </w:r>
          </w:p>
        </w:tc>
        <w:tc>
          <w:tcPr>
            <w:tcW w:w="1208" w:type="pct"/>
          </w:tcPr>
          <w:p w14:paraId="0D9E0B6D" w14:textId="5B2A82EA" w:rsidR="000C3285" w:rsidRDefault="000C3285" w:rsidP="009D2C41">
            <w:pPr>
              <w:rPr>
                <w:szCs w:val="24"/>
              </w:rPr>
            </w:pPr>
            <w:r>
              <w:rPr>
                <w:szCs w:val="24"/>
              </w:rPr>
              <w:t>21 October 2021</w:t>
            </w:r>
          </w:p>
        </w:tc>
      </w:tr>
      <w:tr w:rsidR="0014566B" w14:paraId="6C9545C5" w14:textId="77777777" w:rsidTr="009D2C41">
        <w:trPr>
          <w:cantSplit/>
        </w:trPr>
        <w:tc>
          <w:tcPr>
            <w:tcW w:w="3792" w:type="pct"/>
          </w:tcPr>
          <w:p w14:paraId="0AADF116" w14:textId="1CBD697F" w:rsidR="0014566B" w:rsidRPr="00637F0A" w:rsidRDefault="005D0EEB" w:rsidP="00D230BA">
            <w:pPr>
              <w:jc w:val="left"/>
              <w:rPr>
                <w:szCs w:val="18"/>
              </w:rPr>
            </w:pPr>
            <w:r w:rsidRPr="005D0EEB">
              <w:rPr>
                <w:szCs w:val="18"/>
              </w:rPr>
              <w:t xml:space="preserve">Interim Director </w:t>
            </w:r>
            <w:proofErr w:type="gramStart"/>
            <w:r w:rsidRPr="005D0EEB">
              <w:rPr>
                <w:szCs w:val="18"/>
              </w:rPr>
              <w:t>of  IT</w:t>
            </w:r>
            <w:proofErr w:type="gramEnd"/>
          </w:p>
        </w:tc>
        <w:tc>
          <w:tcPr>
            <w:tcW w:w="1208" w:type="pct"/>
          </w:tcPr>
          <w:p w14:paraId="4E068E7E" w14:textId="28A427D8" w:rsidR="0014566B" w:rsidRPr="00CA6F3C" w:rsidRDefault="005D0EEB" w:rsidP="009D2C41">
            <w:pPr>
              <w:rPr>
                <w:szCs w:val="24"/>
              </w:rPr>
            </w:pPr>
            <w:r>
              <w:rPr>
                <w:szCs w:val="24"/>
              </w:rPr>
              <w:t>25 October 2021</w:t>
            </w:r>
          </w:p>
        </w:tc>
      </w:tr>
      <w:tr w:rsidR="0014566B" w14:paraId="3427FBA1" w14:textId="77777777" w:rsidTr="009D2C41">
        <w:trPr>
          <w:cantSplit/>
        </w:trPr>
        <w:tc>
          <w:tcPr>
            <w:tcW w:w="3792" w:type="pct"/>
          </w:tcPr>
          <w:p w14:paraId="35A29A24" w14:textId="6243A6DB" w:rsidR="0014566B" w:rsidRPr="004C61F2" w:rsidRDefault="000A3E66" w:rsidP="00D230BA">
            <w:pPr>
              <w:jc w:val="left"/>
              <w:rPr>
                <w:szCs w:val="24"/>
              </w:rPr>
            </w:pPr>
            <w:r>
              <w:rPr>
                <w:szCs w:val="24"/>
              </w:rPr>
              <w:t>Deputy Director of Finance</w:t>
            </w:r>
          </w:p>
        </w:tc>
        <w:tc>
          <w:tcPr>
            <w:tcW w:w="1208" w:type="pct"/>
          </w:tcPr>
          <w:p w14:paraId="3A002F6B" w14:textId="3507663F" w:rsidR="0014566B" w:rsidRPr="00CA6F3C" w:rsidRDefault="000A3E66" w:rsidP="009D2C41">
            <w:pPr>
              <w:rPr>
                <w:szCs w:val="24"/>
              </w:rPr>
            </w:pPr>
            <w:r>
              <w:rPr>
                <w:szCs w:val="24"/>
              </w:rPr>
              <w:t>02 November 2021</w:t>
            </w:r>
          </w:p>
        </w:tc>
      </w:tr>
      <w:tr w:rsidR="0014566B" w14:paraId="2479F82D" w14:textId="77777777" w:rsidTr="009D2C41">
        <w:trPr>
          <w:cantSplit/>
        </w:trPr>
        <w:tc>
          <w:tcPr>
            <w:tcW w:w="3792" w:type="pct"/>
          </w:tcPr>
          <w:p w14:paraId="7CED2E92" w14:textId="710574C2" w:rsidR="0014566B" w:rsidRPr="004C61F2" w:rsidRDefault="0014566B" w:rsidP="00D230BA">
            <w:pPr>
              <w:jc w:val="left"/>
              <w:rPr>
                <w:szCs w:val="24"/>
              </w:rPr>
            </w:pPr>
          </w:p>
        </w:tc>
        <w:tc>
          <w:tcPr>
            <w:tcW w:w="1208" w:type="pct"/>
          </w:tcPr>
          <w:p w14:paraId="32208423" w14:textId="7A38D30C" w:rsidR="0014566B" w:rsidRPr="00CA6F3C" w:rsidRDefault="0014566B" w:rsidP="009D2C41">
            <w:pPr>
              <w:rPr>
                <w:szCs w:val="24"/>
              </w:rPr>
            </w:pPr>
          </w:p>
        </w:tc>
      </w:tr>
    </w:tbl>
    <w:p w14:paraId="7632986E" w14:textId="77777777" w:rsidR="00607896" w:rsidRPr="005E37C0" w:rsidRDefault="00607896" w:rsidP="009D1C49">
      <w:pPr>
        <w:pStyle w:val="Heading1"/>
        <w:ind w:left="1134" w:hanging="1134"/>
      </w:pPr>
      <w:bookmarkStart w:id="127" w:name="_Toc522265732"/>
      <w:bookmarkStart w:id="128" w:name="_Toc523221625"/>
      <w:bookmarkStart w:id="129" w:name="_Toc523223523"/>
      <w:bookmarkStart w:id="130" w:name="_Toc84321251"/>
      <w:r>
        <w:t>6</w:t>
      </w:r>
      <w:r>
        <w:tab/>
      </w:r>
      <w:r w:rsidRPr="005E37C0">
        <w:t>Equality Impact Assessment</w:t>
      </w:r>
      <w:bookmarkEnd w:id="127"/>
      <w:bookmarkEnd w:id="128"/>
      <w:bookmarkEnd w:id="129"/>
      <w:bookmarkEnd w:id="130"/>
    </w:p>
    <w:p w14:paraId="0E0EBC1C" w14:textId="77777777" w:rsidR="00607896" w:rsidRPr="005E37C0" w:rsidRDefault="00607896" w:rsidP="00607896"/>
    <w:p w14:paraId="6653334B" w14:textId="77777777" w:rsidR="00C120A8" w:rsidRPr="001661BD" w:rsidRDefault="00607896" w:rsidP="004D31AB">
      <w:pPr>
        <w:overflowPunct/>
        <w:autoSpaceDE/>
        <w:autoSpaceDN/>
        <w:adjustRightInd/>
        <w:jc w:val="left"/>
        <w:textAlignment w:val="auto"/>
      </w:pPr>
      <w:r>
        <w:lastRenderedPageBreak/>
        <w:t xml:space="preserve">An Equality Impact Assessment (EIA) has been completed for this document </w:t>
      </w:r>
      <w:r w:rsidR="00805902">
        <w:t>a</w:t>
      </w:r>
      <w:r>
        <w:t xml:space="preserve">nd can be found at Appendix </w:t>
      </w:r>
      <w:bookmarkStart w:id="131" w:name="_Toc522191567"/>
      <w:bookmarkStart w:id="132" w:name="_Toc522265715"/>
      <w:r w:rsidR="00C120A8">
        <w:t>A</w:t>
      </w:r>
      <w:r w:rsidR="00C120A8" w:rsidRPr="001661BD">
        <w:t xml:space="preserve"> - </w:t>
      </w:r>
      <w:r w:rsidR="00C120A8">
        <w:t>STAGE 1</w:t>
      </w:r>
      <w:r w:rsidR="00C120A8" w:rsidRPr="001661BD">
        <w:t xml:space="preserve">:  Initial Screening </w:t>
      </w:r>
      <w:proofErr w:type="gramStart"/>
      <w:r w:rsidR="00C120A8" w:rsidRPr="001661BD">
        <w:t>For</w:t>
      </w:r>
      <w:proofErr w:type="gramEnd"/>
      <w:r w:rsidR="00C120A8" w:rsidRPr="001661BD">
        <w:t xml:space="preserve"> Equality Impact Assessment</w:t>
      </w:r>
      <w:bookmarkEnd w:id="131"/>
      <w:bookmarkEnd w:id="132"/>
    </w:p>
    <w:p w14:paraId="20E3BC22" w14:textId="77777777" w:rsidR="00C120A8" w:rsidRDefault="00C120A8" w:rsidP="00C120A8">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709"/>
        <w:gridCol w:w="5482"/>
        <w:gridCol w:w="1548"/>
        <w:gridCol w:w="1549"/>
      </w:tblGrid>
      <w:tr w:rsidR="00C120A8" w:rsidRPr="009D1C49" w14:paraId="4CCC2357" w14:textId="77777777" w:rsidTr="009D2C41">
        <w:tc>
          <w:tcPr>
            <w:tcW w:w="9288" w:type="dxa"/>
            <w:gridSpan w:val="4"/>
          </w:tcPr>
          <w:p w14:paraId="5BB52FCE" w14:textId="77777777" w:rsidR="00C120A8" w:rsidRPr="00CF26DC" w:rsidRDefault="00C120A8" w:rsidP="009D2C41">
            <w:pPr>
              <w:pStyle w:val="Default"/>
              <w:spacing w:line="276" w:lineRule="auto"/>
              <w:ind w:left="709" w:hanging="709"/>
              <w:rPr>
                <w:rFonts w:ascii="Arial" w:hAnsi="Arial" w:cs="Arial"/>
                <w:sz w:val="22"/>
                <w:szCs w:val="22"/>
              </w:rPr>
            </w:pPr>
            <w:r w:rsidRPr="00CF26DC">
              <w:rPr>
                <w:rFonts w:ascii="Arial" w:hAnsi="Arial" w:cs="Arial"/>
                <w:sz w:val="22"/>
                <w:szCs w:val="22"/>
              </w:rPr>
              <w:t>At this stage, the following questions need to be considered:</w:t>
            </w:r>
          </w:p>
          <w:p w14:paraId="50F7C84D" w14:textId="77777777" w:rsidR="00C120A8" w:rsidRPr="00CF26DC" w:rsidRDefault="00C120A8" w:rsidP="009D2C41">
            <w:pPr>
              <w:pStyle w:val="Default"/>
              <w:spacing w:line="276" w:lineRule="auto"/>
              <w:rPr>
                <w:rFonts w:ascii="Arial" w:hAnsi="Arial" w:cs="Arial"/>
                <w:b/>
                <w:sz w:val="22"/>
                <w:szCs w:val="22"/>
              </w:rPr>
            </w:pPr>
          </w:p>
        </w:tc>
      </w:tr>
      <w:tr w:rsidR="00C120A8" w:rsidRPr="009D1C49" w14:paraId="6EF2CD5F" w14:textId="77777777" w:rsidTr="009D2C41">
        <w:tc>
          <w:tcPr>
            <w:tcW w:w="709" w:type="dxa"/>
          </w:tcPr>
          <w:p w14:paraId="4E7493A0"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1</w:t>
            </w:r>
          </w:p>
        </w:tc>
        <w:tc>
          <w:tcPr>
            <w:tcW w:w="8579" w:type="dxa"/>
            <w:gridSpan w:val="3"/>
          </w:tcPr>
          <w:p w14:paraId="695044DA" w14:textId="77777777" w:rsidR="00C120A8" w:rsidRPr="00CF26DC" w:rsidRDefault="00C120A8" w:rsidP="00805902">
            <w:pPr>
              <w:pStyle w:val="Default"/>
              <w:spacing w:line="276" w:lineRule="auto"/>
              <w:rPr>
                <w:rFonts w:ascii="Arial" w:hAnsi="Arial" w:cs="Arial"/>
                <w:sz w:val="22"/>
                <w:szCs w:val="22"/>
              </w:rPr>
            </w:pPr>
            <w:r w:rsidRPr="00CF26DC">
              <w:rPr>
                <w:rFonts w:ascii="Arial" w:hAnsi="Arial" w:cs="Arial"/>
                <w:sz w:val="22"/>
                <w:szCs w:val="22"/>
              </w:rPr>
              <w:t>What is the name of t</w:t>
            </w:r>
            <w:r w:rsidR="00805902" w:rsidRPr="00CF26DC">
              <w:rPr>
                <w:rFonts w:ascii="Arial" w:hAnsi="Arial" w:cs="Arial"/>
                <w:sz w:val="22"/>
                <w:szCs w:val="22"/>
              </w:rPr>
              <w:t>he policy, strategy or project?</w:t>
            </w:r>
          </w:p>
          <w:p w14:paraId="476E5655" w14:textId="77777777" w:rsidR="00805902" w:rsidRPr="00CF26DC" w:rsidRDefault="00CF26DC" w:rsidP="00805902">
            <w:pPr>
              <w:pStyle w:val="Default"/>
              <w:spacing w:line="276" w:lineRule="auto"/>
              <w:rPr>
                <w:rFonts w:ascii="Arial" w:hAnsi="Arial" w:cs="Arial"/>
                <w:sz w:val="22"/>
                <w:szCs w:val="22"/>
              </w:rPr>
            </w:pPr>
            <w:r>
              <w:rPr>
                <w:rFonts w:ascii="Arial" w:hAnsi="Arial" w:cs="Arial"/>
                <w:sz w:val="22"/>
                <w:szCs w:val="22"/>
              </w:rPr>
              <w:t>Information Governance Policy</w:t>
            </w:r>
          </w:p>
        </w:tc>
      </w:tr>
      <w:tr w:rsidR="00C120A8" w:rsidRPr="009D1C49" w14:paraId="119A6EA1" w14:textId="77777777" w:rsidTr="009D2C41">
        <w:tc>
          <w:tcPr>
            <w:tcW w:w="709" w:type="dxa"/>
          </w:tcPr>
          <w:p w14:paraId="73BDB530"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2.</w:t>
            </w:r>
          </w:p>
        </w:tc>
        <w:tc>
          <w:tcPr>
            <w:tcW w:w="8579" w:type="dxa"/>
            <w:gridSpan w:val="3"/>
          </w:tcPr>
          <w:p w14:paraId="4FDCE00F"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Briefly describe the aim of the policy, strategy, and project.  What needs or duty is it designed to meet?</w:t>
            </w:r>
          </w:p>
          <w:p w14:paraId="678C6F65" w14:textId="34CF3534" w:rsidR="00805902" w:rsidRPr="00CF26DC" w:rsidRDefault="00BF350D" w:rsidP="009D2C41">
            <w:pPr>
              <w:pStyle w:val="Default"/>
              <w:spacing w:line="276" w:lineRule="auto"/>
              <w:rPr>
                <w:rFonts w:ascii="Arial" w:hAnsi="Arial" w:cs="Arial"/>
                <w:sz w:val="22"/>
                <w:szCs w:val="22"/>
              </w:rPr>
            </w:pPr>
            <w:r>
              <w:rPr>
                <w:rFonts w:ascii="Arial" w:hAnsi="Arial" w:cs="Arial"/>
                <w:sz w:val="22"/>
                <w:szCs w:val="22"/>
              </w:rPr>
              <w:t xml:space="preserve">Policy to ensure that all staff know what is required to adhere to the duty of confidentiality, data protection and freedom of information legislation, the Caldicott principles and NHS standards for records management and information security. </w:t>
            </w:r>
          </w:p>
        </w:tc>
      </w:tr>
      <w:tr w:rsidR="00C120A8" w:rsidRPr="009D1C49" w14:paraId="27FF7706" w14:textId="77777777" w:rsidTr="009D2C41">
        <w:tc>
          <w:tcPr>
            <w:tcW w:w="709" w:type="dxa"/>
          </w:tcPr>
          <w:p w14:paraId="6C92D068"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3.</w:t>
            </w:r>
          </w:p>
        </w:tc>
        <w:tc>
          <w:tcPr>
            <w:tcW w:w="5482" w:type="dxa"/>
          </w:tcPr>
          <w:p w14:paraId="57520F47"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Is there any evidence or reason to believe that the policy, strategy or project could have an adverse or negative impact on any of the nine protected characteristics (as per Appendix A)?</w:t>
            </w:r>
          </w:p>
          <w:p w14:paraId="02210D69" w14:textId="77777777" w:rsidR="00805902" w:rsidRPr="00CF26DC" w:rsidRDefault="00805902" w:rsidP="009D2C41">
            <w:pPr>
              <w:pStyle w:val="Default"/>
              <w:spacing w:line="276" w:lineRule="auto"/>
              <w:rPr>
                <w:rFonts w:ascii="Arial" w:hAnsi="Arial" w:cs="Arial"/>
                <w:sz w:val="22"/>
                <w:szCs w:val="22"/>
              </w:rPr>
            </w:pPr>
          </w:p>
        </w:tc>
        <w:tc>
          <w:tcPr>
            <w:tcW w:w="1548" w:type="dxa"/>
          </w:tcPr>
          <w:p w14:paraId="490C16DD" w14:textId="77777777" w:rsidR="00C120A8" w:rsidRPr="00CF26DC" w:rsidRDefault="00C120A8" w:rsidP="009D2C41">
            <w:pPr>
              <w:pStyle w:val="Default"/>
              <w:spacing w:line="276" w:lineRule="auto"/>
              <w:rPr>
                <w:rFonts w:ascii="Arial" w:hAnsi="Arial" w:cs="Arial"/>
                <w:b/>
              </w:rPr>
            </w:pPr>
          </w:p>
        </w:tc>
        <w:tc>
          <w:tcPr>
            <w:tcW w:w="1549" w:type="dxa"/>
          </w:tcPr>
          <w:p w14:paraId="6FD5EC15" w14:textId="77777777" w:rsidR="00C120A8" w:rsidRPr="00CF26DC" w:rsidRDefault="00C120A8" w:rsidP="009D2C41">
            <w:pPr>
              <w:pStyle w:val="Default"/>
              <w:spacing w:line="276" w:lineRule="auto"/>
              <w:rPr>
                <w:rFonts w:ascii="Arial" w:hAnsi="Arial" w:cs="Arial"/>
                <w:b/>
              </w:rPr>
            </w:pPr>
            <w:r w:rsidRPr="00CF26DC">
              <w:rPr>
                <w:rFonts w:ascii="Arial" w:hAnsi="Arial" w:cs="Arial"/>
                <w:b/>
              </w:rPr>
              <w:t>No</w:t>
            </w:r>
          </w:p>
          <w:p w14:paraId="7CCEE3A0" w14:textId="77777777" w:rsidR="00C120A8" w:rsidRPr="00CF26DC" w:rsidRDefault="00C120A8" w:rsidP="009D2C41">
            <w:pPr>
              <w:pStyle w:val="Default"/>
              <w:spacing w:line="276" w:lineRule="auto"/>
              <w:rPr>
                <w:rFonts w:ascii="Arial" w:hAnsi="Arial" w:cs="Arial"/>
                <w:sz w:val="32"/>
                <w:szCs w:val="32"/>
              </w:rPr>
            </w:pPr>
          </w:p>
        </w:tc>
      </w:tr>
      <w:tr w:rsidR="00C120A8" w:rsidRPr="009D1C49" w14:paraId="57997B9B" w14:textId="77777777" w:rsidTr="009D2C41">
        <w:tc>
          <w:tcPr>
            <w:tcW w:w="709" w:type="dxa"/>
          </w:tcPr>
          <w:p w14:paraId="0E85EB70"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4.</w:t>
            </w:r>
          </w:p>
        </w:tc>
        <w:tc>
          <w:tcPr>
            <w:tcW w:w="5482" w:type="dxa"/>
          </w:tcPr>
          <w:p w14:paraId="42A5DB63"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w:t>
            </w:r>
            <w:proofErr w:type="gramStart"/>
            <w:r w:rsidRPr="00CF26DC">
              <w:rPr>
                <w:rFonts w:ascii="Arial" w:hAnsi="Arial" w:cs="Arial"/>
                <w:sz w:val="22"/>
                <w:szCs w:val="22"/>
              </w:rPr>
              <w:t>i.e.</w:t>
            </w:r>
            <w:proofErr w:type="gramEnd"/>
            <w:r w:rsidRPr="00CF26DC">
              <w:rPr>
                <w:rFonts w:ascii="Arial" w:hAnsi="Arial" w:cs="Arial"/>
                <w:sz w:val="22"/>
                <w:szCs w:val="22"/>
              </w:rPr>
              <w:t xml:space="preserve"> there might be a </w:t>
            </w:r>
            <w:r w:rsidRPr="00CF26DC">
              <w:rPr>
                <w:rFonts w:ascii="Arial" w:hAnsi="Arial" w:cs="Arial"/>
                <w:i/>
                <w:sz w:val="22"/>
                <w:szCs w:val="22"/>
              </w:rPr>
              <w:t>relative</w:t>
            </w:r>
            <w:r w:rsidRPr="00CF26DC">
              <w:rPr>
                <w:rFonts w:ascii="Arial" w:hAnsi="Arial" w:cs="Arial"/>
                <w:sz w:val="22"/>
                <w:szCs w:val="22"/>
              </w:rPr>
              <w:t xml:space="preserve"> adverse effect on other groups?</w:t>
            </w:r>
          </w:p>
          <w:p w14:paraId="6FDE4B8A" w14:textId="77777777" w:rsidR="00805902" w:rsidRPr="00CF26DC" w:rsidRDefault="00805902" w:rsidP="009D2C41">
            <w:pPr>
              <w:pStyle w:val="Default"/>
              <w:spacing w:line="276" w:lineRule="auto"/>
              <w:rPr>
                <w:rFonts w:ascii="Arial" w:hAnsi="Arial" w:cs="Arial"/>
                <w:sz w:val="22"/>
                <w:szCs w:val="22"/>
              </w:rPr>
            </w:pPr>
          </w:p>
        </w:tc>
        <w:tc>
          <w:tcPr>
            <w:tcW w:w="1548" w:type="dxa"/>
          </w:tcPr>
          <w:p w14:paraId="3E04E086" w14:textId="77777777" w:rsidR="00C120A8" w:rsidRPr="00CF26DC" w:rsidRDefault="00C120A8" w:rsidP="009D2C41">
            <w:pPr>
              <w:pStyle w:val="Default"/>
              <w:spacing w:line="276" w:lineRule="auto"/>
              <w:rPr>
                <w:rFonts w:ascii="Arial" w:hAnsi="Arial" w:cs="Arial"/>
                <w:b/>
              </w:rPr>
            </w:pPr>
          </w:p>
        </w:tc>
        <w:tc>
          <w:tcPr>
            <w:tcW w:w="1549" w:type="dxa"/>
          </w:tcPr>
          <w:p w14:paraId="5C264407" w14:textId="77777777" w:rsidR="00C120A8" w:rsidRPr="00CF26DC" w:rsidRDefault="00C120A8" w:rsidP="009D2C41">
            <w:pPr>
              <w:pStyle w:val="Default"/>
              <w:spacing w:line="276" w:lineRule="auto"/>
              <w:rPr>
                <w:rFonts w:ascii="Arial" w:hAnsi="Arial" w:cs="Arial"/>
                <w:b/>
              </w:rPr>
            </w:pPr>
            <w:r w:rsidRPr="00CF26DC">
              <w:rPr>
                <w:rFonts w:ascii="Arial" w:hAnsi="Arial" w:cs="Arial"/>
                <w:b/>
              </w:rPr>
              <w:t>No</w:t>
            </w:r>
          </w:p>
          <w:p w14:paraId="430CA818" w14:textId="77777777" w:rsidR="00C120A8" w:rsidRPr="00CF26DC" w:rsidRDefault="00C120A8" w:rsidP="009D2C41">
            <w:pPr>
              <w:pStyle w:val="Default"/>
              <w:spacing w:line="276" w:lineRule="auto"/>
              <w:rPr>
                <w:rFonts w:ascii="Arial" w:hAnsi="Arial" w:cs="Arial"/>
                <w:b/>
              </w:rPr>
            </w:pPr>
          </w:p>
        </w:tc>
      </w:tr>
      <w:tr w:rsidR="00C120A8" w:rsidRPr="009D1C49" w14:paraId="2FB4D110" w14:textId="77777777" w:rsidTr="009D2C41">
        <w:tc>
          <w:tcPr>
            <w:tcW w:w="709" w:type="dxa"/>
          </w:tcPr>
          <w:p w14:paraId="3627CFD0"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5.</w:t>
            </w:r>
          </w:p>
        </w:tc>
        <w:tc>
          <w:tcPr>
            <w:tcW w:w="5482" w:type="dxa"/>
          </w:tcPr>
          <w:p w14:paraId="305C249F"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59F5BB3B" w14:textId="77777777" w:rsidR="00805902" w:rsidRPr="00CF26DC" w:rsidRDefault="00805902" w:rsidP="009D2C41">
            <w:pPr>
              <w:pStyle w:val="Default"/>
              <w:spacing w:line="276" w:lineRule="auto"/>
              <w:rPr>
                <w:rFonts w:ascii="Arial" w:hAnsi="Arial" w:cs="Arial"/>
                <w:sz w:val="22"/>
                <w:szCs w:val="22"/>
              </w:rPr>
            </w:pPr>
          </w:p>
        </w:tc>
        <w:tc>
          <w:tcPr>
            <w:tcW w:w="1548" w:type="dxa"/>
          </w:tcPr>
          <w:p w14:paraId="431CAD9C" w14:textId="77777777" w:rsidR="00C120A8" w:rsidRPr="00CF26DC" w:rsidRDefault="00C120A8" w:rsidP="009D2C41">
            <w:pPr>
              <w:pStyle w:val="Default"/>
              <w:spacing w:line="276" w:lineRule="auto"/>
              <w:rPr>
                <w:rFonts w:ascii="Arial" w:hAnsi="Arial" w:cs="Arial"/>
                <w:b/>
              </w:rPr>
            </w:pPr>
          </w:p>
        </w:tc>
        <w:tc>
          <w:tcPr>
            <w:tcW w:w="1549" w:type="dxa"/>
          </w:tcPr>
          <w:p w14:paraId="3E3D1815" w14:textId="77777777" w:rsidR="00C120A8" w:rsidRPr="00CF26DC" w:rsidRDefault="00C120A8" w:rsidP="009D2C41">
            <w:pPr>
              <w:pStyle w:val="Default"/>
              <w:spacing w:line="276" w:lineRule="auto"/>
              <w:rPr>
                <w:rFonts w:ascii="Arial" w:hAnsi="Arial" w:cs="Arial"/>
                <w:b/>
              </w:rPr>
            </w:pPr>
            <w:r w:rsidRPr="00CF26DC">
              <w:rPr>
                <w:rFonts w:ascii="Arial" w:hAnsi="Arial" w:cs="Arial"/>
                <w:b/>
              </w:rPr>
              <w:t>No</w:t>
            </w:r>
          </w:p>
          <w:p w14:paraId="48D1B25F" w14:textId="77777777" w:rsidR="00C120A8" w:rsidRPr="00CF26DC" w:rsidRDefault="00C120A8" w:rsidP="009D2C41">
            <w:pPr>
              <w:pStyle w:val="Default"/>
              <w:spacing w:line="276" w:lineRule="auto"/>
              <w:rPr>
                <w:rFonts w:ascii="Arial" w:hAnsi="Arial" w:cs="Arial"/>
                <w:b/>
              </w:rPr>
            </w:pPr>
          </w:p>
        </w:tc>
      </w:tr>
    </w:tbl>
    <w:p w14:paraId="46C51187" w14:textId="77777777" w:rsidR="00C120A8" w:rsidRPr="00CF26DC" w:rsidRDefault="00C120A8" w:rsidP="00C120A8">
      <w:pPr>
        <w:pStyle w:val="Default"/>
        <w:spacing w:line="276" w:lineRule="auto"/>
        <w:ind w:left="709" w:hanging="709"/>
        <w:rPr>
          <w:rFonts w:ascii="Arial" w:hAnsi="Arial" w:cs="Arial"/>
          <w:sz w:val="22"/>
          <w:szCs w:val="22"/>
        </w:rPr>
      </w:pPr>
    </w:p>
    <w:p w14:paraId="113E4329" w14:textId="77777777" w:rsidR="00C120A8" w:rsidRPr="00CF26DC" w:rsidRDefault="00C120A8" w:rsidP="00C120A8">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644"/>
        <w:gridCol w:w="4644"/>
      </w:tblGrid>
      <w:tr w:rsidR="00C120A8" w:rsidRPr="009D1C49" w14:paraId="6D346875" w14:textId="77777777" w:rsidTr="009D2C41">
        <w:tc>
          <w:tcPr>
            <w:tcW w:w="4644" w:type="dxa"/>
          </w:tcPr>
          <w:p w14:paraId="1CA32A94"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 xml:space="preserve">Signed by the manager undertaking the assessment </w:t>
            </w:r>
          </w:p>
        </w:tc>
        <w:tc>
          <w:tcPr>
            <w:tcW w:w="4644" w:type="dxa"/>
          </w:tcPr>
          <w:p w14:paraId="3AA52976" w14:textId="77777777" w:rsidR="00C120A8" w:rsidRPr="00CF26DC" w:rsidRDefault="00CF26DC" w:rsidP="009D2C41">
            <w:pPr>
              <w:pStyle w:val="Default"/>
              <w:spacing w:line="276" w:lineRule="auto"/>
              <w:rPr>
                <w:rFonts w:ascii="Arial" w:hAnsi="Arial" w:cs="Arial"/>
                <w:sz w:val="22"/>
                <w:szCs w:val="22"/>
              </w:rPr>
            </w:pPr>
            <w:r>
              <w:rPr>
                <w:rFonts w:ascii="Arial" w:hAnsi="Arial" w:cs="Arial"/>
                <w:sz w:val="22"/>
                <w:szCs w:val="22"/>
              </w:rPr>
              <w:t>Mark Arnold</w:t>
            </w:r>
          </w:p>
        </w:tc>
      </w:tr>
      <w:tr w:rsidR="00C120A8" w:rsidRPr="009D1C49" w14:paraId="6F39D9F0" w14:textId="77777777" w:rsidTr="009D2C41">
        <w:tc>
          <w:tcPr>
            <w:tcW w:w="4644" w:type="dxa"/>
          </w:tcPr>
          <w:p w14:paraId="0E98537B" w14:textId="77777777" w:rsidR="00C120A8" w:rsidRPr="00CF26DC" w:rsidRDefault="00C120A8" w:rsidP="009D2C41">
            <w:pPr>
              <w:pStyle w:val="Default"/>
              <w:spacing w:line="276" w:lineRule="auto"/>
              <w:rPr>
                <w:rFonts w:ascii="Arial" w:hAnsi="Arial" w:cs="Arial"/>
                <w:sz w:val="22"/>
                <w:szCs w:val="22"/>
              </w:rPr>
            </w:pPr>
            <w:r w:rsidRPr="00CF26DC">
              <w:rPr>
                <w:rFonts w:ascii="Arial" w:hAnsi="Arial" w:cs="Arial"/>
                <w:sz w:val="22"/>
                <w:szCs w:val="22"/>
              </w:rPr>
              <w:t xml:space="preserve">Date completed </w:t>
            </w:r>
          </w:p>
        </w:tc>
        <w:tc>
          <w:tcPr>
            <w:tcW w:w="4644" w:type="dxa"/>
          </w:tcPr>
          <w:p w14:paraId="04C75CA5" w14:textId="30508856" w:rsidR="00C120A8" w:rsidRPr="00CF26DC" w:rsidRDefault="00BF350D" w:rsidP="009D2C41">
            <w:pPr>
              <w:pStyle w:val="Default"/>
              <w:spacing w:line="276" w:lineRule="auto"/>
              <w:rPr>
                <w:rFonts w:ascii="Arial" w:hAnsi="Arial" w:cs="Arial"/>
                <w:sz w:val="22"/>
                <w:szCs w:val="22"/>
              </w:rPr>
            </w:pPr>
            <w:r>
              <w:rPr>
                <w:rFonts w:ascii="Arial" w:hAnsi="Arial" w:cs="Arial"/>
                <w:sz w:val="22"/>
                <w:szCs w:val="22"/>
              </w:rPr>
              <w:t>05</w:t>
            </w:r>
            <w:r w:rsidR="00CF26DC">
              <w:rPr>
                <w:rFonts w:ascii="Arial" w:hAnsi="Arial" w:cs="Arial"/>
                <w:sz w:val="22"/>
                <w:szCs w:val="22"/>
              </w:rPr>
              <w:t>/1</w:t>
            </w:r>
            <w:r>
              <w:rPr>
                <w:rFonts w:ascii="Arial" w:hAnsi="Arial" w:cs="Arial"/>
                <w:sz w:val="22"/>
                <w:szCs w:val="22"/>
              </w:rPr>
              <w:t>0</w:t>
            </w:r>
            <w:r w:rsidR="00CF26DC">
              <w:rPr>
                <w:rFonts w:ascii="Arial" w:hAnsi="Arial" w:cs="Arial"/>
                <w:sz w:val="22"/>
                <w:szCs w:val="22"/>
              </w:rPr>
              <w:t>/20</w:t>
            </w:r>
            <w:r>
              <w:rPr>
                <w:rFonts w:ascii="Arial" w:hAnsi="Arial" w:cs="Arial"/>
                <w:sz w:val="22"/>
                <w:szCs w:val="22"/>
              </w:rPr>
              <w:t>21</w:t>
            </w:r>
          </w:p>
        </w:tc>
      </w:tr>
      <w:tr w:rsidR="00C120A8" w:rsidRPr="00B82DB1" w14:paraId="027423FC" w14:textId="77777777" w:rsidTr="009D2C41">
        <w:tc>
          <w:tcPr>
            <w:tcW w:w="4644" w:type="dxa"/>
          </w:tcPr>
          <w:p w14:paraId="196ACEA4" w14:textId="77777777" w:rsidR="00C120A8" w:rsidRPr="00B82DB1" w:rsidRDefault="00C120A8" w:rsidP="009D2C41">
            <w:pPr>
              <w:pStyle w:val="Default"/>
              <w:spacing w:line="276" w:lineRule="auto"/>
              <w:rPr>
                <w:rFonts w:ascii="Arial" w:hAnsi="Arial" w:cs="Arial"/>
                <w:sz w:val="22"/>
                <w:szCs w:val="22"/>
              </w:rPr>
            </w:pPr>
            <w:r w:rsidRPr="00CF26DC">
              <w:rPr>
                <w:rFonts w:ascii="Arial" w:hAnsi="Arial" w:cs="Arial"/>
                <w:sz w:val="22"/>
                <w:szCs w:val="22"/>
              </w:rPr>
              <w:t>Job Title</w:t>
            </w:r>
          </w:p>
        </w:tc>
        <w:tc>
          <w:tcPr>
            <w:tcW w:w="4644" w:type="dxa"/>
          </w:tcPr>
          <w:p w14:paraId="31862632" w14:textId="1C8B0EAE" w:rsidR="00C120A8" w:rsidRPr="00B82DB1" w:rsidRDefault="00BF350D" w:rsidP="009D2C41">
            <w:pPr>
              <w:pStyle w:val="Default"/>
              <w:spacing w:line="276" w:lineRule="auto"/>
              <w:rPr>
                <w:rFonts w:ascii="Arial" w:hAnsi="Arial" w:cs="Arial"/>
                <w:sz w:val="22"/>
                <w:szCs w:val="22"/>
              </w:rPr>
            </w:pPr>
            <w:r>
              <w:rPr>
                <w:rFonts w:ascii="Arial" w:hAnsi="Arial" w:cs="Arial"/>
                <w:sz w:val="22"/>
                <w:szCs w:val="22"/>
              </w:rPr>
              <w:t xml:space="preserve">Head of </w:t>
            </w:r>
            <w:r w:rsidR="00CF26DC">
              <w:rPr>
                <w:rFonts w:ascii="Arial" w:hAnsi="Arial" w:cs="Arial"/>
                <w:sz w:val="22"/>
                <w:szCs w:val="22"/>
              </w:rPr>
              <w:t>Information Governance</w:t>
            </w:r>
            <w:r>
              <w:rPr>
                <w:rFonts w:ascii="Arial" w:hAnsi="Arial" w:cs="Arial"/>
                <w:sz w:val="22"/>
                <w:szCs w:val="22"/>
              </w:rPr>
              <w:t xml:space="preserve"> and Data Protection Officer</w:t>
            </w:r>
          </w:p>
        </w:tc>
      </w:tr>
    </w:tbl>
    <w:p w14:paraId="3C952987" w14:textId="77777777" w:rsidR="00C120A8" w:rsidRPr="00B82DB1" w:rsidRDefault="00C120A8" w:rsidP="00C120A8">
      <w:pPr>
        <w:pStyle w:val="Default"/>
        <w:spacing w:line="276" w:lineRule="auto"/>
        <w:ind w:left="709" w:hanging="709"/>
        <w:rPr>
          <w:rFonts w:ascii="Arial" w:hAnsi="Arial" w:cs="Arial"/>
          <w:sz w:val="22"/>
          <w:szCs w:val="22"/>
        </w:rPr>
      </w:pPr>
    </w:p>
    <w:p w14:paraId="4166F59D" w14:textId="77777777" w:rsidR="00C120A8" w:rsidRPr="00B82DB1" w:rsidRDefault="00C120A8" w:rsidP="00C120A8">
      <w:pPr>
        <w:pStyle w:val="Default"/>
        <w:spacing w:line="276" w:lineRule="auto"/>
        <w:ind w:left="709" w:hanging="709"/>
        <w:rPr>
          <w:rFonts w:ascii="Arial" w:hAnsi="Arial" w:cs="Arial"/>
          <w:sz w:val="22"/>
          <w:szCs w:val="22"/>
        </w:rPr>
      </w:pPr>
    </w:p>
    <w:p w14:paraId="25E96326" w14:textId="77777777" w:rsidR="00C120A8" w:rsidRPr="00FF10B3" w:rsidRDefault="00C120A8" w:rsidP="00C120A8">
      <w:pPr>
        <w:overflowPunct/>
        <w:autoSpaceDE/>
        <w:autoSpaceDN/>
        <w:adjustRightInd/>
        <w:jc w:val="left"/>
        <w:textAlignment w:val="auto"/>
        <w:rPr>
          <w:b/>
          <w:szCs w:val="22"/>
        </w:rPr>
      </w:pPr>
      <w:r w:rsidRPr="00FF10B3">
        <w:rPr>
          <w:rFonts w:cs="Arial"/>
          <w:b/>
          <w:szCs w:val="22"/>
        </w:rPr>
        <w:t>On completion of Stage 1</w:t>
      </w:r>
      <w:r w:rsidR="00FF10B3" w:rsidRPr="00FF10B3">
        <w:rPr>
          <w:rFonts w:cs="Arial"/>
          <w:b/>
          <w:szCs w:val="22"/>
        </w:rPr>
        <w:t xml:space="preserve"> </w:t>
      </w:r>
      <w:r w:rsidRPr="00FF10B3">
        <w:rPr>
          <w:rFonts w:cs="Arial"/>
          <w:b/>
          <w:szCs w:val="22"/>
        </w:rPr>
        <w:t>required if you have answered YES to one or more of questions 3, 4 and 5 above</w:t>
      </w:r>
      <w:r w:rsidR="00FF10B3" w:rsidRPr="00FF10B3">
        <w:rPr>
          <w:rFonts w:cs="Arial"/>
          <w:b/>
          <w:szCs w:val="22"/>
        </w:rPr>
        <w:t xml:space="preserve"> you need to complete a </w:t>
      </w:r>
      <w:hyperlink r:id="rId33" w:history="1">
        <w:r w:rsidR="00FF10B3" w:rsidRPr="00FF10B3">
          <w:rPr>
            <w:rStyle w:val="Hyperlink"/>
            <w:rFonts w:cs="Arial"/>
            <w:b/>
            <w:szCs w:val="22"/>
          </w:rPr>
          <w:t>STAGE 2 - Full Equality Impact Assessment</w:t>
        </w:r>
      </w:hyperlink>
      <w:r w:rsidR="00FF10B3" w:rsidRPr="00FF10B3">
        <w:rPr>
          <w:rFonts w:cs="Arial"/>
          <w:b/>
          <w:szCs w:val="22"/>
        </w:rPr>
        <w:t xml:space="preserve"> </w:t>
      </w:r>
    </w:p>
    <w:p w14:paraId="058D7DDA" w14:textId="77777777" w:rsidR="00607896" w:rsidRDefault="00607896" w:rsidP="00607896"/>
    <w:p w14:paraId="2021CDE4" w14:textId="77777777" w:rsidR="00607896" w:rsidRDefault="00607896" w:rsidP="00607896"/>
    <w:p w14:paraId="4BE4786C" w14:textId="77777777" w:rsidR="00607896" w:rsidRDefault="00607896" w:rsidP="00607896"/>
    <w:p w14:paraId="16ECA3D9" w14:textId="77777777" w:rsidR="008B4F9D" w:rsidRDefault="008B4F9D">
      <w:pPr>
        <w:overflowPunct/>
        <w:autoSpaceDE/>
        <w:autoSpaceDN/>
        <w:adjustRightInd/>
        <w:spacing w:after="200" w:line="276" w:lineRule="auto"/>
        <w:jc w:val="left"/>
        <w:textAlignment w:val="auto"/>
      </w:pPr>
      <w:r>
        <w:br w:type="page"/>
      </w:r>
    </w:p>
    <w:p w14:paraId="0F5682CB" w14:textId="77777777" w:rsidR="008B4F9D" w:rsidRDefault="008B4F9D" w:rsidP="00607896">
      <w:pPr>
        <w:sectPr w:rsidR="008B4F9D" w:rsidSect="00607896">
          <w:footerReference w:type="default" r:id="rId34"/>
          <w:pgSz w:w="11906" w:h="16838"/>
          <w:pgMar w:top="992" w:right="992" w:bottom="992" w:left="992" w:header="709" w:footer="10" w:gutter="0"/>
          <w:cols w:space="708"/>
          <w:docGrid w:linePitch="360"/>
        </w:sectPr>
      </w:pPr>
    </w:p>
    <w:p w14:paraId="04E459C0" w14:textId="77777777" w:rsidR="00607896" w:rsidRDefault="00607896" w:rsidP="00607896"/>
    <w:bookmarkEnd w:id="8"/>
    <w:bookmarkEnd w:id="9"/>
    <w:p w14:paraId="4753D079" w14:textId="77777777" w:rsidR="00E00446" w:rsidRDefault="00F92ED7" w:rsidP="008B4F9D">
      <w:pPr>
        <w:jc w:val="center"/>
      </w:pPr>
      <w:r>
        <w:rPr>
          <w:noProof/>
          <w:lang w:eastAsia="en-GB"/>
        </w:rPr>
        <w:drawing>
          <wp:inline distT="0" distB="0" distL="0" distR="0" wp14:anchorId="0BC0E367" wp14:editId="01E097CD">
            <wp:extent cx="7968886" cy="458536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35">
                      <a:extLst>
                        <a:ext uri="{28A0092B-C50C-407E-A947-70E740481C1C}">
                          <a14:useLocalDpi xmlns:a14="http://schemas.microsoft.com/office/drawing/2010/main" val="0"/>
                        </a:ext>
                      </a:extLst>
                    </a:blip>
                    <a:srcRect b="17090"/>
                    <a:stretch/>
                  </pic:blipFill>
                  <pic:spPr bwMode="auto">
                    <a:xfrm>
                      <a:off x="0" y="0"/>
                      <a:ext cx="7973458" cy="4588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757194DC" w14:textId="77777777" w:rsidR="00981B9A" w:rsidRDefault="00981B9A">
      <w:pPr>
        <w:overflowPunct/>
        <w:autoSpaceDE/>
        <w:autoSpaceDN/>
        <w:adjustRightInd/>
        <w:spacing w:after="200" w:line="276" w:lineRule="auto"/>
        <w:jc w:val="left"/>
        <w:textAlignment w:val="auto"/>
      </w:pPr>
      <w:r>
        <w:br w:type="page"/>
      </w:r>
    </w:p>
    <w:p w14:paraId="2168B323" w14:textId="77777777" w:rsidR="00E00446" w:rsidRDefault="00981B9A" w:rsidP="00E219D7">
      <w:pPr>
        <w:pStyle w:val="Heading1"/>
      </w:pPr>
      <w:bookmarkStart w:id="133" w:name="_Toc84321252"/>
      <w:r>
        <w:lastRenderedPageBreak/>
        <w:t>Appendix B – Lawful Bases for Processing and rights of the Data Subject</w:t>
      </w:r>
      <w:bookmarkEnd w:id="133"/>
    </w:p>
    <w:p w14:paraId="48ACF8E4" w14:textId="77777777" w:rsidR="00981B9A" w:rsidRDefault="00981B9A" w:rsidP="00981B9A"/>
    <w:tbl>
      <w:tblPr>
        <w:tblStyle w:val="TableGrid"/>
        <w:tblW w:w="14777" w:type="dxa"/>
        <w:tblInd w:w="-176" w:type="dxa"/>
        <w:tblLayout w:type="fixed"/>
        <w:tblLook w:val="04A0" w:firstRow="1" w:lastRow="0" w:firstColumn="1" w:lastColumn="0" w:noHBand="0" w:noVBand="1"/>
      </w:tblPr>
      <w:tblGrid>
        <w:gridCol w:w="1418"/>
        <w:gridCol w:w="5245"/>
        <w:gridCol w:w="8114"/>
      </w:tblGrid>
      <w:tr w:rsidR="00981B9A" w:rsidRPr="00981B9A" w14:paraId="49EB193A" w14:textId="77777777" w:rsidTr="00981B9A">
        <w:trPr>
          <w:cantSplit/>
          <w:tblHeader/>
        </w:trPr>
        <w:tc>
          <w:tcPr>
            <w:tcW w:w="1418" w:type="dxa"/>
            <w:shd w:val="clear" w:color="auto" w:fill="BFBFBF" w:themeFill="background1" w:themeFillShade="BF"/>
            <w:vAlign w:val="center"/>
          </w:tcPr>
          <w:p w14:paraId="2ED51EFE" w14:textId="77777777" w:rsidR="00981B9A" w:rsidRPr="00981B9A" w:rsidRDefault="00981B9A" w:rsidP="00981B9A">
            <w:pPr>
              <w:jc w:val="left"/>
              <w:rPr>
                <w:b/>
              </w:rPr>
            </w:pPr>
            <w:r w:rsidRPr="00981B9A">
              <w:rPr>
                <w:b/>
              </w:rPr>
              <w:t>Lawful Basis</w:t>
            </w:r>
          </w:p>
        </w:tc>
        <w:tc>
          <w:tcPr>
            <w:tcW w:w="5245" w:type="dxa"/>
            <w:shd w:val="clear" w:color="auto" w:fill="BFBFBF" w:themeFill="background1" w:themeFillShade="BF"/>
            <w:vAlign w:val="center"/>
          </w:tcPr>
          <w:p w14:paraId="4112B9C9" w14:textId="77777777" w:rsidR="00981B9A" w:rsidRPr="00981B9A" w:rsidRDefault="00981B9A" w:rsidP="00981B9A">
            <w:pPr>
              <w:jc w:val="left"/>
              <w:rPr>
                <w:b/>
              </w:rPr>
            </w:pPr>
            <w:r w:rsidRPr="00981B9A">
              <w:rPr>
                <w:b/>
              </w:rPr>
              <w:t>Requirements</w:t>
            </w:r>
          </w:p>
        </w:tc>
        <w:tc>
          <w:tcPr>
            <w:tcW w:w="8114" w:type="dxa"/>
            <w:shd w:val="clear" w:color="auto" w:fill="BFBFBF" w:themeFill="background1" w:themeFillShade="BF"/>
            <w:vAlign w:val="center"/>
          </w:tcPr>
          <w:p w14:paraId="066E20C0" w14:textId="77777777" w:rsidR="00981B9A" w:rsidRPr="00981B9A" w:rsidRDefault="00981B9A" w:rsidP="00981B9A">
            <w:pPr>
              <w:jc w:val="left"/>
              <w:rPr>
                <w:b/>
              </w:rPr>
            </w:pPr>
            <w:r w:rsidRPr="00981B9A">
              <w:rPr>
                <w:b/>
              </w:rPr>
              <w:t>Rights of Data Subjects</w:t>
            </w:r>
          </w:p>
        </w:tc>
      </w:tr>
      <w:tr w:rsidR="00981B9A" w14:paraId="44AA3D0D" w14:textId="77777777" w:rsidTr="00981B9A">
        <w:trPr>
          <w:cantSplit/>
          <w:trHeight w:val="1413"/>
        </w:trPr>
        <w:tc>
          <w:tcPr>
            <w:tcW w:w="1418" w:type="dxa"/>
            <w:vAlign w:val="center"/>
          </w:tcPr>
          <w:p w14:paraId="5B3397BE" w14:textId="77777777" w:rsidR="00981B9A" w:rsidRDefault="00981B9A" w:rsidP="00981B9A">
            <w:pPr>
              <w:jc w:val="left"/>
            </w:pPr>
            <w:r>
              <w:t>Consent</w:t>
            </w:r>
          </w:p>
        </w:tc>
        <w:tc>
          <w:tcPr>
            <w:tcW w:w="5245" w:type="dxa"/>
            <w:vAlign w:val="center"/>
          </w:tcPr>
          <w:p w14:paraId="65512D69" w14:textId="77777777" w:rsidR="00981B9A" w:rsidRDefault="00981B9A" w:rsidP="00981B9A">
            <w:pPr>
              <w:pStyle w:val="ListParagraph"/>
              <w:ind w:left="34" w:hanging="34"/>
              <w:jc w:val="left"/>
            </w:pPr>
            <w:r>
              <w:t>The data subject</w:t>
            </w:r>
            <w:r w:rsidRPr="00266CE5">
              <w:t xml:space="preserve"> </w:t>
            </w:r>
            <w:r>
              <w:t xml:space="preserve">must have </w:t>
            </w:r>
            <w:r w:rsidRPr="00266CE5">
              <w:t xml:space="preserve">given </w:t>
            </w:r>
            <w:r w:rsidRPr="00981B9A">
              <w:t>clear permission</w:t>
            </w:r>
            <w:r>
              <w:t xml:space="preserve"> </w:t>
            </w:r>
            <w:r w:rsidRPr="00266CE5">
              <w:t xml:space="preserve">for their personal data to be </w:t>
            </w:r>
            <w:r>
              <w:t>disclo</w:t>
            </w:r>
            <w:r w:rsidRPr="00266CE5">
              <w:t xml:space="preserve">sed for a </w:t>
            </w:r>
            <w:r w:rsidRPr="00981B9A">
              <w:t>specific purpose</w:t>
            </w:r>
            <w:r w:rsidRPr="00266CE5">
              <w:t>.</w:t>
            </w:r>
            <w:r>
              <w:t xml:space="preserve"> This must be an opt-in process.</w:t>
            </w:r>
            <w:r w:rsidRPr="00266CE5">
              <w:t xml:space="preserve"> </w:t>
            </w:r>
          </w:p>
        </w:tc>
        <w:tc>
          <w:tcPr>
            <w:tcW w:w="8114" w:type="dxa"/>
            <w:vAlign w:val="center"/>
          </w:tcPr>
          <w:p w14:paraId="764809BB" w14:textId="77777777" w:rsidR="00981B9A" w:rsidRDefault="00981B9A" w:rsidP="00981B9A">
            <w:pPr>
              <w:jc w:val="left"/>
            </w:pPr>
            <w:r>
              <w:t xml:space="preserve">There is no right to object; </w:t>
            </w:r>
            <w:proofErr w:type="gramStart"/>
            <w:r>
              <w:t>instead</w:t>
            </w:r>
            <w:proofErr w:type="gramEnd"/>
            <w:r>
              <w:t xml:space="preserve"> the data subject can withdraw consent at any time. Data subjects have a right to request erasure. The Trust would be required to delete information collected for that specific purpose and to inform any third party to take the same action. Any information already held would be subject to whichever lawful basis applied at the time of collection.</w:t>
            </w:r>
          </w:p>
        </w:tc>
      </w:tr>
      <w:tr w:rsidR="00981B9A" w14:paraId="0FD8F489" w14:textId="77777777" w:rsidTr="00981B9A">
        <w:trPr>
          <w:cantSplit/>
          <w:trHeight w:val="1405"/>
        </w:trPr>
        <w:tc>
          <w:tcPr>
            <w:tcW w:w="1418" w:type="dxa"/>
            <w:vAlign w:val="center"/>
          </w:tcPr>
          <w:p w14:paraId="51F4E7C6" w14:textId="77777777" w:rsidR="00981B9A" w:rsidRPr="00DA13EA" w:rsidRDefault="00981B9A" w:rsidP="00981B9A">
            <w:pPr>
              <w:jc w:val="left"/>
            </w:pPr>
            <w:r w:rsidRPr="00DA13EA">
              <w:t>Contract</w:t>
            </w:r>
          </w:p>
          <w:p w14:paraId="3B6C7EC8" w14:textId="77777777" w:rsidR="00981B9A" w:rsidRDefault="00981B9A" w:rsidP="00981B9A">
            <w:pPr>
              <w:jc w:val="left"/>
            </w:pPr>
          </w:p>
        </w:tc>
        <w:tc>
          <w:tcPr>
            <w:tcW w:w="5245" w:type="dxa"/>
            <w:vAlign w:val="center"/>
          </w:tcPr>
          <w:p w14:paraId="4C488F0E" w14:textId="77777777" w:rsidR="00981B9A" w:rsidRDefault="00981B9A" w:rsidP="00981B9A">
            <w:pPr>
              <w:jc w:val="left"/>
            </w:pPr>
            <w:r>
              <w:t>T</w:t>
            </w:r>
            <w:r w:rsidRPr="00DA13EA">
              <w:t xml:space="preserve">he processing must be necessary for the exercise of a contract that is in place with the individual, or because they have asked the data controller to take specific steps before </w:t>
            </w:r>
            <w:proofErr w:type="gramStart"/>
            <w:r w:rsidRPr="00DA13EA">
              <w:t>entering into</w:t>
            </w:r>
            <w:proofErr w:type="gramEnd"/>
            <w:r w:rsidRPr="00DA13EA">
              <w:t xml:space="preserve"> a contract.</w:t>
            </w:r>
          </w:p>
        </w:tc>
        <w:tc>
          <w:tcPr>
            <w:tcW w:w="8114" w:type="dxa"/>
            <w:vAlign w:val="center"/>
          </w:tcPr>
          <w:p w14:paraId="4E82ED5D" w14:textId="511D7C83" w:rsidR="00981B9A" w:rsidRDefault="00981B9A" w:rsidP="00981B9A">
            <w:pPr>
              <w:jc w:val="left"/>
            </w:pPr>
            <w:r w:rsidRPr="00DA13EA">
              <w:t xml:space="preserve">There is no right to object to processing data that is needed for the exercise of the contract. Data subjects have a right to erasure when the data is no longer necessary. This will be subject to certain retention periods </w:t>
            </w:r>
            <w:proofErr w:type="gramStart"/>
            <w:r w:rsidRPr="00DA13EA">
              <w:t>e.g.</w:t>
            </w:r>
            <w:proofErr w:type="gramEnd"/>
            <w:r w:rsidRPr="00DA13EA">
              <w:t xml:space="preserve"> employment contracts must be kept for 6 years after the end of employment. </w:t>
            </w:r>
          </w:p>
        </w:tc>
      </w:tr>
      <w:tr w:rsidR="00981B9A" w14:paraId="27BCC484" w14:textId="77777777" w:rsidTr="00981B9A">
        <w:trPr>
          <w:cantSplit/>
          <w:trHeight w:val="1538"/>
        </w:trPr>
        <w:tc>
          <w:tcPr>
            <w:tcW w:w="1418" w:type="dxa"/>
            <w:vAlign w:val="center"/>
          </w:tcPr>
          <w:p w14:paraId="1129E6E4" w14:textId="77777777" w:rsidR="00981B9A" w:rsidRDefault="00981B9A" w:rsidP="00981B9A">
            <w:pPr>
              <w:jc w:val="left"/>
            </w:pPr>
            <w:r w:rsidRPr="00266CE5">
              <w:t>Legal obligation</w:t>
            </w:r>
          </w:p>
        </w:tc>
        <w:tc>
          <w:tcPr>
            <w:tcW w:w="5245" w:type="dxa"/>
            <w:vAlign w:val="center"/>
          </w:tcPr>
          <w:p w14:paraId="0F8B785F" w14:textId="77777777" w:rsidR="00981B9A" w:rsidRDefault="00981B9A" w:rsidP="00981B9A">
            <w:pPr>
              <w:jc w:val="left"/>
            </w:pPr>
            <w:r>
              <w:t>T</w:t>
            </w:r>
            <w:r w:rsidRPr="00266CE5">
              <w:t xml:space="preserve">he processing </w:t>
            </w:r>
            <w:r>
              <w:t>must be</w:t>
            </w:r>
            <w:r w:rsidRPr="00266CE5">
              <w:t xml:space="preserve"> necessary to comply with the law</w:t>
            </w:r>
            <w:r>
              <w:t xml:space="preserve">, </w:t>
            </w:r>
            <w:proofErr w:type="gramStart"/>
            <w:r>
              <w:t>e.g.</w:t>
            </w:r>
            <w:proofErr w:type="gramEnd"/>
            <w:r>
              <w:t xml:space="preserve"> </w:t>
            </w:r>
            <w:r w:rsidRPr="00266CE5">
              <w:t xml:space="preserve">to comply with a Court Order, provide information to the Ombudsmen, </w:t>
            </w:r>
            <w:r>
              <w:t xml:space="preserve">or </w:t>
            </w:r>
            <w:r w:rsidRPr="00266CE5">
              <w:t>assist a regulator</w:t>
            </w:r>
            <w:r>
              <w:t xml:space="preserve"> or inspector</w:t>
            </w:r>
            <w:r w:rsidRPr="00266CE5">
              <w:t>, such as the GMC</w:t>
            </w:r>
            <w:r>
              <w:t xml:space="preserve"> or the CQC.</w:t>
            </w:r>
          </w:p>
        </w:tc>
        <w:tc>
          <w:tcPr>
            <w:tcW w:w="8114" w:type="dxa"/>
            <w:vAlign w:val="center"/>
          </w:tcPr>
          <w:p w14:paraId="7495892F" w14:textId="77777777" w:rsidR="00981B9A" w:rsidRDefault="00981B9A" w:rsidP="00981B9A">
            <w:pPr>
              <w:jc w:val="left"/>
            </w:pPr>
            <w:r>
              <w:t>There is no right to object to processing if it is for a legal obligation. There is no right to erasure</w:t>
            </w:r>
            <w:r w:rsidRPr="009148B9">
              <w:t xml:space="preserve"> if the data is used </w:t>
            </w:r>
            <w:r>
              <w:t xml:space="preserve">to </w:t>
            </w:r>
            <w:r w:rsidRPr="009148B9">
              <w:t>comply with a legal obligation</w:t>
            </w:r>
            <w:r>
              <w:t xml:space="preserve"> or </w:t>
            </w:r>
            <w:r w:rsidRPr="009148B9">
              <w:t xml:space="preserve">for the </w:t>
            </w:r>
            <w:r>
              <w:t>e</w:t>
            </w:r>
            <w:r w:rsidRPr="009148B9">
              <w:t>stablishment, exercise or defence of legal claims</w:t>
            </w:r>
            <w:r>
              <w:t>.</w:t>
            </w:r>
          </w:p>
        </w:tc>
      </w:tr>
      <w:tr w:rsidR="00981B9A" w14:paraId="0DE9912A" w14:textId="77777777" w:rsidTr="00981B9A">
        <w:trPr>
          <w:cantSplit/>
          <w:trHeight w:val="1844"/>
        </w:trPr>
        <w:tc>
          <w:tcPr>
            <w:tcW w:w="1418" w:type="dxa"/>
            <w:vAlign w:val="center"/>
          </w:tcPr>
          <w:p w14:paraId="0FCBB9EC" w14:textId="77777777" w:rsidR="00981B9A" w:rsidRDefault="00981B9A" w:rsidP="00981B9A">
            <w:pPr>
              <w:jc w:val="left"/>
            </w:pPr>
            <w:r w:rsidRPr="00266CE5">
              <w:t>Vital interests</w:t>
            </w:r>
          </w:p>
        </w:tc>
        <w:tc>
          <w:tcPr>
            <w:tcW w:w="5245" w:type="dxa"/>
            <w:vAlign w:val="center"/>
          </w:tcPr>
          <w:p w14:paraId="15A84E88" w14:textId="77777777" w:rsidR="00981B9A" w:rsidRDefault="00981B9A" w:rsidP="00981B9A">
            <w:pPr>
              <w:jc w:val="left"/>
            </w:pPr>
            <w:r>
              <w:t>T</w:t>
            </w:r>
            <w:r w:rsidRPr="00266CE5">
              <w:t xml:space="preserve">he processing </w:t>
            </w:r>
            <w:r>
              <w:t>must</w:t>
            </w:r>
            <w:r w:rsidRPr="00266CE5">
              <w:t xml:space="preserve"> </w:t>
            </w:r>
            <w:r>
              <w:t xml:space="preserve">be </w:t>
            </w:r>
            <w:r w:rsidRPr="00266CE5">
              <w:t xml:space="preserve">necessary to protect someone’s life. This must only be used when it is not possible to ask for consent. </w:t>
            </w:r>
            <w:r>
              <w:t xml:space="preserve">This basis </w:t>
            </w:r>
            <w:r w:rsidRPr="00DA13EA">
              <w:rPr>
                <w:u w:val="single"/>
              </w:rPr>
              <w:t>cannot</w:t>
            </w:r>
            <w:r>
              <w:t xml:space="preserve"> be used for direct healthcare purposes. Safeguarding will likely fall under this lawful basis. </w:t>
            </w:r>
          </w:p>
        </w:tc>
        <w:tc>
          <w:tcPr>
            <w:tcW w:w="8114" w:type="dxa"/>
            <w:vAlign w:val="center"/>
          </w:tcPr>
          <w:p w14:paraId="539B7523" w14:textId="733E906B" w:rsidR="00981B9A" w:rsidRDefault="00981B9A" w:rsidP="00981B9A">
            <w:pPr>
              <w:jc w:val="left"/>
            </w:pPr>
            <w:r w:rsidRPr="002178C8">
              <w:t xml:space="preserve">There is no right to object to processing </w:t>
            </w:r>
            <w:r>
              <w:t xml:space="preserve">of data </w:t>
            </w:r>
            <w:r w:rsidRPr="002178C8">
              <w:t xml:space="preserve">if it is </w:t>
            </w:r>
            <w:r>
              <w:t xml:space="preserve">needed to protect or save a life. The data subject has a right to request erasure. This is </w:t>
            </w:r>
            <w:proofErr w:type="gramStart"/>
            <w:r>
              <w:t>similar to</w:t>
            </w:r>
            <w:proofErr w:type="gramEnd"/>
            <w:r>
              <w:t xml:space="preserve"> when consent is withdrawn, any information held already before vital interests processing began, would be subject to the lawful basis that applied to that data. </w:t>
            </w:r>
          </w:p>
        </w:tc>
      </w:tr>
      <w:tr w:rsidR="00981B9A" w14:paraId="5DCB29C4" w14:textId="77777777" w:rsidTr="00981B9A">
        <w:trPr>
          <w:cantSplit/>
        </w:trPr>
        <w:tc>
          <w:tcPr>
            <w:tcW w:w="1418" w:type="dxa"/>
            <w:vAlign w:val="center"/>
          </w:tcPr>
          <w:p w14:paraId="5472BCBE" w14:textId="77777777" w:rsidR="00981B9A" w:rsidRDefault="00981B9A" w:rsidP="00981B9A">
            <w:pPr>
              <w:jc w:val="left"/>
            </w:pPr>
            <w:r w:rsidRPr="00266CE5">
              <w:lastRenderedPageBreak/>
              <w:t>Public task</w:t>
            </w:r>
          </w:p>
        </w:tc>
        <w:tc>
          <w:tcPr>
            <w:tcW w:w="5245" w:type="dxa"/>
            <w:vAlign w:val="center"/>
          </w:tcPr>
          <w:p w14:paraId="50BF9F9C" w14:textId="77777777" w:rsidR="00981B9A" w:rsidRDefault="00981B9A" w:rsidP="00981B9A">
            <w:pPr>
              <w:jc w:val="left"/>
            </w:pPr>
            <w:r>
              <w:t>T</w:t>
            </w:r>
            <w:r w:rsidRPr="00266CE5">
              <w:t xml:space="preserve">he processing </w:t>
            </w:r>
            <w:r>
              <w:t>must be</w:t>
            </w:r>
            <w:r w:rsidRPr="00266CE5">
              <w:t xml:space="preserve"> necessary to perform a task in the public interest or for the Trust’s official functions. </w:t>
            </w:r>
          </w:p>
          <w:p w14:paraId="625B14A9" w14:textId="77777777" w:rsidR="00981B9A" w:rsidRDefault="00981B9A" w:rsidP="00981B9A">
            <w:pPr>
              <w:jc w:val="left"/>
            </w:pPr>
          </w:p>
          <w:p w14:paraId="5B34944C" w14:textId="77777777" w:rsidR="00981B9A" w:rsidRDefault="00981B9A" w:rsidP="00981B9A">
            <w:pPr>
              <w:jc w:val="left"/>
            </w:pPr>
            <w:r w:rsidRPr="00266CE5">
              <w:t>As a public authority, direct healthcare services that the Trust provides will fall under this lawful basis.</w:t>
            </w:r>
          </w:p>
        </w:tc>
        <w:tc>
          <w:tcPr>
            <w:tcW w:w="8114" w:type="dxa"/>
            <w:vAlign w:val="center"/>
          </w:tcPr>
          <w:p w14:paraId="0B2A1FF3" w14:textId="77777777" w:rsidR="00981B9A" w:rsidRDefault="00981B9A" w:rsidP="00981B9A">
            <w:pPr>
              <w:jc w:val="left"/>
            </w:pPr>
            <w:r>
              <w:t xml:space="preserve">The data subject has a right to object to processing. However, </w:t>
            </w:r>
            <w:r w:rsidRPr="0061713C">
              <w:t xml:space="preserve">this is not an absolute right, and processing can continue if </w:t>
            </w:r>
            <w:r>
              <w:t>there are</w:t>
            </w:r>
            <w:r w:rsidRPr="0061713C">
              <w:t xml:space="preserve"> legitimate grounds, which override the interests of the individual</w:t>
            </w:r>
            <w:r>
              <w:t xml:space="preserve">. The </w:t>
            </w:r>
            <w:r w:rsidRPr="0061713C">
              <w:t xml:space="preserve">individual must give specific reasons why they are objecting to the processing of their data. These reasons should be based upon their </w:t>
            </w:r>
            <w:proofErr w:type="gramStart"/>
            <w:r w:rsidRPr="0061713C">
              <w:t>particular situation</w:t>
            </w:r>
            <w:proofErr w:type="gramEnd"/>
            <w:r w:rsidRPr="0061713C">
              <w:t>.</w:t>
            </w:r>
            <w:r>
              <w:t xml:space="preserve"> The provision of healthcare is a </w:t>
            </w:r>
            <w:r w:rsidRPr="0061713C">
              <w:t>public task carried out in the public interest</w:t>
            </w:r>
            <w:r>
              <w:t xml:space="preserve">, so </w:t>
            </w:r>
            <w:proofErr w:type="gramStart"/>
            <w:r>
              <w:t>as long as</w:t>
            </w:r>
            <w:proofErr w:type="gramEnd"/>
            <w:r>
              <w:t xml:space="preserve"> the Caldicott Principles are followed (justified purpose, minimum data, strict need-to-know, etc.), it is unlikely that an objection would require the Trust to cease processing data. An objection may be upheld if the Trust is using excessive data or sharing it unreasonably. A patient can object to their data being used for secondary purposes such as planning. </w:t>
            </w:r>
          </w:p>
          <w:p w14:paraId="6A1855D0" w14:textId="77777777" w:rsidR="00981B9A" w:rsidRDefault="00981B9A" w:rsidP="00981B9A">
            <w:pPr>
              <w:jc w:val="left"/>
            </w:pPr>
          </w:p>
          <w:p w14:paraId="333D9D60" w14:textId="4237491D" w:rsidR="00981B9A" w:rsidRDefault="00981B9A" w:rsidP="00981B9A">
            <w:pPr>
              <w:jc w:val="left"/>
            </w:pPr>
            <w:r>
              <w:t xml:space="preserve">There is no right to erasure of information </w:t>
            </w:r>
            <w:r w:rsidRPr="009148B9">
              <w:t>necessary for health</w:t>
            </w:r>
            <w:r>
              <w:t>care</w:t>
            </w:r>
            <w:r w:rsidRPr="009148B9">
              <w:t xml:space="preserve"> purposes in the public interest (</w:t>
            </w:r>
            <w:r>
              <w:t>including</w:t>
            </w:r>
            <w:r w:rsidRPr="009148B9">
              <w:t xml:space="preserve"> </w:t>
            </w:r>
            <w:r>
              <w:t xml:space="preserve">provision of </w:t>
            </w:r>
            <w:r w:rsidRPr="009148B9">
              <w:t>preventative or occupational medicine</w:t>
            </w:r>
            <w:r>
              <w:t>,</w:t>
            </w:r>
            <w:r w:rsidRPr="009148B9">
              <w:t xml:space="preserve"> protecting against serious cross-border threats to health, or ensuring high standards of quality and safety of health care and of medicinal products or medical devices)</w:t>
            </w:r>
            <w:r>
              <w:t>.</w:t>
            </w:r>
          </w:p>
        </w:tc>
      </w:tr>
      <w:tr w:rsidR="00981B9A" w14:paraId="0E5B0D8B" w14:textId="77777777" w:rsidTr="00981B9A">
        <w:trPr>
          <w:cantSplit/>
          <w:trHeight w:val="1527"/>
        </w:trPr>
        <w:tc>
          <w:tcPr>
            <w:tcW w:w="1418" w:type="dxa"/>
            <w:vAlign w:val="center"/>
          </w:tcPr>
          <w:p w14:paraId="560E1F64" w14:textId="77777777" w:rsidR="00981B9A" w:rsidRDefault="00981B9A" w:rsidP="00981B9A">
            <w:pPr>
              <w:jc w:val="left"/>
            </w:pPr>
            <w:r w:rsidRPr="00266CE5">
              <w:t>Legitimate interests</w:t>
            </w:r>
          </w:p>
        </w:tc>
        <w:tc>
          <w:tcPr>
            <w:tcW w:w="5245" w:type="dxa"/>
            <w:vAlign w:val="center"/>
          </w:tcPr>
          <w:p w14:paraId="76D71B56" w14:textId="77777777" w:rsidR="00981B9A" w:rsidRDefault="00981B9A" w:rsidP="00981B9A">
            <w:pPr>
              <w:jc w:val="left"/>
            </w:pPr>
            <w:r>
              <w:t>T</w:t>
            </w:r>
            <w:r w:rsidRPr="00266CE5">
              <w:t xml:space="preserve">he processing </w:t>
            </w:r>
            <w:r>
              <w:t>must be</w:t>
            </w:r>
            <w:r w:rsidRPr="00266CE5">
              <w:t xml:space="preserve"> necessary for the Trust’s legitimate interests or the legitimate interests of a third party, unless there is a good reason to protect the individual’s personal data. This cannot apply to healthcare services or activities of the Trust.</w:t>
            </w:r>
          </w:p>
        </w:tc>
        <w:tc>
          <w:tcPr>
            <w:tcW w:w="8114" w:type="dxa"/>
            <w:vAlign w:val="center"/>
          </w:tcPr>
          <w:p w14:paraId="3540B48B" w14:textId="77777777" w:rsidR="00981B9A" w:rsidRDefault="00981B9A" w:rsidP="00981B9A">
            <w:pPr>
              <w:jc w:val="left"/>
            </w:pPr>
            <w:r>
              <w:t xml:space="preserve">Data subjects have a right to object to processing and a right to erasure. These would apply providing that </w:t>
            </w:r>
            <w:r w:rsidRPr="002178C8">
              <w:t>there is no overriding legitimate interest to continue th</w:t>
            </w:r>
            <w:r>
              <w:t>e</w:t>
            </w:r>
            <w:r w:rsidRPr="002178C8">
              <w:t xml:space="preserve"> processing</w:t>
            </w:r>
            <w:r>
              <w:t>.</w:t>
            </w:r>
          </w:p>
        </w:tc>
      </w:tr>
    </w:tbl>
    <w:p w14:paraId="56234731" w14:textId="77777777" w:rsidR="00E219D7" w:rsidRDefault="00E219D7" w:rsidP="00981B9A">
      <w:pPr>
        <w:sectPr w:rsidR="00E219D7" w:rsidSect="00D2432E">
          <w:footerReference w:type="default" r:id="rId36"/>
          <w:pgSz w:w="16838" w:h="11906" w:orient="landscape"/>
          <w:pgMar w:top="1440" w:right="1134" w:bottom="1440" w:left="851" w:header="708" w:footer="0" w:gutter="0"/>
          <w:cols w:space="708"/>
          <w:docGrid w:linePitch="360"/>
        </w:sectPr>
      </w:pPr>
    </w:p>
    <w:p w14:paraId="226EF766" w14:textId="77777777" w:rsidR="00E219D7" w:rsidRPr="00E219D7" w:rsidRDefault="00E219D7" w:rsidP="00E219D7">
      <w:pPr>
        <w:pStyle w:val="Heading1"/>
      </w:pPr>
      <w:bookmarkStart w:id="134" w:name="_Toc84321253"/>
      <w:r w:rsidRPr="009A41C3">
        <w:lastRenderedPageBreak/>
        <w:t xml:space="preserve">Appendix </w:t>
      </w:r>
      <w:r>
        <w:t>C</w:t>
      </w:r>
      <w:r w:rsidRPr="009A41C3">
        <w:t xml:space="preserve"> - Valid </w:t>
      </w:r>
      <w:proofErr w:type="gramStart"/>
      <w:r w:rsidRPr="00E219D7">
        <w:t>Consent</w:t>
      </w:r>
      <w:r w:rsidR="00FC321E">
        <w:t xml:space="preserve">  (</w:t>
      </w:r>
      <w:proofErr w:type="gramEnd"/>
      <w:r w:rsidR="00FC321E">
        <w:t>Patient)</w:t>
      </w:r>
      <w:bookmarkEnd w:id="134"/>
    </w:p>
    <w:p w14:paraId="1615BA4E" w14:textId="543BE2F5" w:rsidR="00E219D7" w:rsidRDefault="00E219D7" w:rsidP="00E219D7">
      <w:r>
        <w:t xml:space="preserve">The </w:t>
      </w:r>
      <w:r w:rsidR="00BF350D">
        <w:t xml:space="preserve">UK </w:t>
      </w:r>
      <w:r>
        <w:t xml:space="preserve">GDPR </w:t>
      </w:r>
      <w:r w:rsidR="00FC321E">
        <w:t xml:space="preserve">(Ref 4) </w:t>
      </w:r>
      <w:r>
        <w:t>reinforce</w:t>
      </w:r>
      <w:r w:rsidR="00FC321E">
        <w:t>s</w:t>
      </w:r>
      <w:r>
        <w:t xml:space="preserve"> what constitute appropriate consent procedures. Though most examples through this policy will be related to the use of information, the same principles apply to other types of consent, such as </w:t>
      </w:r>
      <w:r w:rsidR="00FC321E">
        <w:t xml:space="preserve">consent </w:t>
      </w:r>
      <w:r>
        <w:t>for treatment. From May 2018, t</w:t>
      </w:r>
      <w:r w:rsidRPr="0054061B">
        <w:t xml:space="preserve">o be valid, </w:t>
      </w:r>
      <w:r w:rsidR="00FC321E">
        <w:t xml:space="preserve">consent from </w:t>
      </w:r>
      <w:r>
        <w:t>the data subject</w:t>
      </w:r>
      <w:r w:rsidR="00FC321E">
        <w:t xml:space="preserve"> (usually the patient)</w:t>
      </w:r>
      <w:r w:rsidRPr="0054061B">
        <w:t xml:space="preserve"> must be</w:t>
      </w:r>
      <w:r>
        <w:t>:</w:t>
      </w:r>
    </w:p>
    <w:p w14:paraId="5A99094B" w14:textId="77777777" w:rsidR="004B03F1" w:rsidRDefault="004B03F1" w:rsidP="00E219D7"/>
    <w:p w14:paraId="3C065C9C" w14:textId="77777777" w:rsidR="00E219D7" w:rsidRDefault="00E219D7" w:rsidP="004B03F1">
      <w:r w:rsidRPr="00E219D7">
        <w:rPr>
          <w:b/>
        </w:rPr>
        <w:t>Informed</w:t>
      </w:r>
      <w:r w:rsidRPr="00670D7F">
        <w:t xml:space="preserve"> – </w:t>
      </w:r>
      <w:r>
        <w:t xml:space="preserve">the </w:t>
      </w:r>
      <w:r w:rsidR="00FC321E">
        <w:t>data subject</w:t>
      </w:r>
      <w:r w:rsidRPr="00670D7F">
        <w:t xml:space="preserve"> </w:t>
      </w:r>
      <w:r>
        <w:t xml:space="preserve">must be </w:t>
      </w:r>
      <w:r w:rsidRPr="00670D7F">
        <w:t>told how their information will be used</w:t>
      </w:r>
      <w:r>
        <w:t xml:space="preserve"> and who the data controller </w:t>
      </w:r>
      <w:proofErr w:type="gramStart"/>
      <w:r>
        <w:t>is;</w:t>
      </w:r>
      <w:proofErr w:type="gramEnd"/>
    </w:p>
    <w:p w14:paraId="5B1BA8C2" w14:textId="77777777" w:rsidR="00E219D7" w:rsidRPr="00670D7F" w:rsidRDefault="00E219D7" w:rsidP="004B03F1">
      <w:r w:rsidRPr="00E219D7">
        <w:rPr>
          <w:b/>
        </w:rPr>
        <w:t>Able to understand</w:t>
      </w:r>
      <w:r>
        <w:t xml:space="preserve"> – the </w:t>
      </w:r>
      <w:r w:rsidR="00FC321E">
        <w:t>data subject</w:t>
      </w:r>
      <w:r>
        <w:t xml:space="preserve"> must </w:t>
      </w:r>
      <w:r w:rsidRPr="00670D7F">
        <w:t>ha</w:t>
      </w:r>
      <w:r>
        <w:t>ve</w:t>
      </w:r>
      <w:r w:rsidRPr="00670D7F">
        <w:t xml:space="preserve"> sufficient und</w:t>
      </w:r>
      <w:r>
        <w:t>erstanding of the implications.</w:t>
      </w:r>
      <w:r w:rsidRPr="00670D7F">
        <w:t xml:space="preserve"> </w:t>
      </w:r>
      <w:r>
        <w:t>T</w:t>
      </w:r>
      <w:r w:rsidRPr="00670D7F">
        <w:t xml:space="preserve">he age of consent is 18 years old. However, if a child is competent then it is appropriate to let the child act </w:t>
      </w:r>
      <w:r>
        <w:t xml:space="preserve">on their own </w:t>
      </w:r>
      <w:proofErr w:type="gramStart"/>
      <w:r>
        <w:t>behalf;</w:t>
      </w:r>
      <w:proofErr w:type="gramEnd"/>
      <w:r w:rsidRPr="00670D7F">
        <w:t xml:space="preserve"> </w:t>
      </w:r>
    </w:p>
    <w:p w14:paraId="4F25FD62" w14:textId="77777777" w:rsidR="00E219D7" w:rsidRDefault="00E219D7" w:rsidP="004B03F1">
      <w:r w:rsidRPr="00E219D7">
        <w:rPr>
          <w:b/>
        </w:rPr>
        <w:t>Able to choose</w:t>
      </w:r>
      <w:r>
        <w:t xml:space="preserve"> – the </w:t>
      </w:r>
      <w:r w:rsidR="00FC321E">
        <w:t>data subject</w:t>
      </w:r>
      <w:r>
        <w:t xml:space="preserve"> must </w:t>
      </w:r>
      <w:r w:rsidRPr="00670D7F">
        <w:t>ha</w:t>
      </w:r>
      <w:r>
        <w:t xml:space="preserve">ve been given a choice and not forced to consent. There must be an active opt-in </w:t>
      </w:r>
      <w:proofErr w:type="gramStart"/>
      <w:r>
        <w:t>process;</w:t>
      </w:r>
      <w:proofErr w:type="gramEnd"/>
    </w:p>
    <w:p w14:paraId="7F766972" w14:textId="77777777" w:rsidR="00E219D7" w:rsidRDefault="00E219D7" w:rsidP="004B03F1">
      <w:r w:rsidRPr="00E219D7">
        <w:rPr>
          <w:b/>
        </w:rPr>
        <w:t>Able to withdraw consent</w:t>
      </w:r>
      <w:r>
        <w:t xml:space="preserve"> – the </w:t>
      </w:r>
      <w:r w:rsidR="00FC321E">
        <w:t>data subject</w:t>
      </w:r>
      <w:r>
        <w:t xml:space="preserve"> must be </w:t>
      </w:r>
      <w:r w:rsidRPr="00670D7F">
        <w:t xml:space="preserve">given a chance to opt out </w:t>
      </w:r>
      <w:r>
        <w:t xml:space="preserve">at a </w:t>
      </w:r>
      <w:r w:rsidRPr="00670D7F">
        <w:t>l</w:t>
      </w:r>
      <w:r>
        <w:t>ater stage or to withdraw their consent; and</w:t>
      </w:r>
    </w:p>
    <w:p w14:paraId="7CB83A3D" w14:textId="77777777" w:rsidR="00E219D7" w:rsidRPr="00670D7F" w:rsidRDefault="00E219D7" w:rsidP="004B03F1">
      <w:r w:rsidRPr="00E219D7">
        <w:rPr>
          <w:b/>
        </w:rPr>
        <w:t>Able to communicate their decision</w:t>
      </w:r>
      <w:r>
        <w:t xml:space="preserve"> – the </w:t>
      </w:r>
      <w:r w:rsidR="00FC321E">
        <w:t>data subject</w:t>
      </w:r>
      <w:r>
        <w:t xml:space="preserve"> must be given a chance to </w:t>
      </w:r>
      <w:r w:rsidRPr="00670D7F">
        <w:t>communicate their decision or objection</w:t>
      </w:r>
      <w:r>
        <w:t>, in whatever way they can. A physical disability will not affect an individual’s ability to understand</w:t>
      </w:r>
      <w:r w:rsidR="00FC321E">
        <w:t xml:space="preserve"> and to consent</w:t>
      </w:r>
      <w:r>
        <w:t xml:space="preserve">.  </w:t>
      </w:r>
    </w:p>
    <w:p w14:paraId="429F31DE" w14:textId="77777777" w:rsidR="004B03F1" w:rsidRDefault="004B03F1" w:rsidP="00E219D7"/>
    <w:p w14:paraId="7048E74A" w14:textId="77777777" w:rsidR="00E219D7" w:rsidRDefault="00E219D7" w:rsidP="00E219D7">
      <w:pPr>
        <w:rPr>
          <w:color w:val="000000"/>
        </w:rPr>
      </w:pPr>
      <w:r>
        <w:t xml:space="preserve">If a patient does not have the capacity </w:t>
      </w:r>
      <w:r w:rsidRPr="009312F5">
        <w:t xml:space="preserve">to give consent, or to communicate a decision, </w:t>
      </w:r>
      <w:r>
        <w:t xml:space="preserve">someone who has been appointed to act on their behalf must be contacted. </w:t>
      </w:r>
      <w:r w:rsidRPr="00670D7F">
        <w:rPr>
          <w:color w:val="000000"/>
        </w:rPr>
        <w:t>If a child is not competent, an individual with parental responsibility should act on their behalf.</w:t>
      </w:r>
      <w:r>
        <w:rPr>
          <w:color w:val="000000"/>
        </w:rPr>
        <w:t xml:space="preserve"> If an adult is not competent, this will be someone acting as an Attorney with a registered Lasting Power of Attorney (LPA) or as</w:t>
      </w:r>
      <w:r w:rsidRPr="007527A2">
        <w:rPr>
          <w:color w:val="000000"/>
        </w:rPr>
        <w:t xml:space="preserve"> </w:t>
      </w:r>
      <w:r>
        <w:rPr>
          <w:color w:val="000000"/>
        </w:rPr>
        <w:t xml:space="preserve">a Deputy through the Court of Protection. </w:t>
      </w:r>
    </w:p>
    <w:p w14:paraId="37DDF353" w14:textId="77777777" w:rsidR="00E219D7" w:rsidRDefault="00E219D7" w:rsidP="00E219D7">
      <w:pPr>
        <w:rPr>
          <w:color w:val="000000"/>
        </w:rPr>
      </w:pPr>
    </w:p>
    <w:p w14:paraId="721991DD" w14:textId="2F01D017" w:rsidR="00E219D7" w:rsidRDefault="00B87C8A" w:rsidP="00B87C8A">
      <w:r>
        <w:t xml:space="preserve">A search of the register of LPAs can be made at: </w:t>
      </w:r>
      <w:hyperlink r:id="rId37" w:history="1">
        <w:r>
          <w:rPr>
            <w:rStyle w:val="Hyperlink"/>
          </w:rPr>
          <w:t>https://www.gov.uk/government</w:t>
        </w:r>
      </w:hyperlink>
      <w:r>
        <w:t xml:space="preserve">, completed forms are sent here: </w:t>
      </w:r>
      <w:hyperlink r:id="rId38" w:history="1">
        <w:r w:rsidRPr="009E51B4">
          <w:rPr>
            <w:rStyle w:val="Hyperlink"/>
          </w:rPr>
          <w:t>customerservices@publicguardian.gsi.gov.uk</w:t>
        </w:r>
      </w:hyperlink>
      <w:r>
        <w:t>. However, as this may take time, if this confirmation is needed urgently, the Attorney should be asked for proof that the LPA has been registered.</w:t>
      </w:r>
    </w:p>
    <w:p w14:paraId="59FDC15F" w14:textId="77777777" w:rsidR="00E219D7" w:rsidRDefault="00E219D7" w:rsidP="00E219D7"/>
    <w:p w14:paraId="76F03D8A" w14:textId="77777777" w:rsidR="00E219D7" w:rsidRDefault="00E219D7" w:rsidP="00E219D7">
      <w:r>
        <w:t xml:space="preserve">Deputies are appointed by the Court of Protection when someone lacks mental capacity. During times when the data subject is ‘lucid’, they must remain as the decision maker. When they are lacking capacity, a </w:t>
      </w:r>
      <w:r w:rsidRPr="007527A2">
        <w:t xml:space="preserve">Personal </w:t>
      </w:r>
      <w:r>
        <w:t>W</w:t>
      </w:r>
      <w:r w:rsidRPr="007527A2">
        <w:t xml:space="preserve">elfare </w:t>
      </w:r>
      <w:r>
        <w:t>D</w:t>
      </w:r>
      <w:r w:rsidRPr="007527A2">
        <w:t>eputy</w:t>
      </w:r>
      <w:r>
        <w:t xml:space="preserve"> can act on their behalf. A </w:t>
      </w:r>
      <w:r w:rsidRPr="007527A2">
        <w:t xml:space="preserve">Property and </w:t>
      </w:r>
      <w:r>
        <w:t>F</w:t>
      </w:r>
      <w:r w:rsidRPr="007527A2">
        <w:t xml:space="preserve">inancial </w:t>
      </w:r>
      <w:r>
        <w:t>A</w:t>
      </w:r>
      <w:r w:rsidRPr="007527A2">
        <w:t>ffairs</w:t>
      </w:r>
      <w:r>
        <w:t xml:space="preserve"> D</w:t>
      </w:r>
      <w:r w:rsidRPr="007527A2">
        <w:t>eputy</w:t>
      </w:r>
      <w:r>
        <w:t xml:space="preserve"> cannot make healthcare decisions. </w:t>
      </w:r>
    </w:p>
    <w:p w14:paraId="7975C3C7" w14:textId="77777777" w:rsidR="00E219D7" w:rsidRDefault="00E219D7" w:rsidP="00E219D7"/>
    <w:p w14:paraId="35E491D2" w14:textId="77777777" w:rsidR="00E219D7" w:rsidRDefault="00E219D7" w:rsidP="00E219D7">
      <w:r w:rsidRPr="006B74AF">
        <w:t xml:space="preserve">Where a named representative is </w:t>
      </w:r>
      <w:r>
        <w:t>identified</w:t>
      </w:r>
      <w:r w:rsidRPr="006B74AF">
        <w:t xml:space="preserve"> their contact details should be recorded on the patient’s </w:t>
      </w:r>
      <w:r>
        <w:t>electronic</w:t>
      </w:r>
      <w:r w:rsidRPr="006B74AF">
        <w:t xml:space="preserve"> and paper records. All queries from friends or relatives should then be directed to the named representative to answer.</w:t>
      </w:r>
    </w:p>
    <w:p w14:paraId="1CBAE7C1" w14:textId="77777777" w:rsidR="00E219D7" w:rsidRPr="007527A2" w:rsidRDefault="00E219D7" w:rsidP="00E219D7"/>
    <w:p w14:paraId="49598F02" w14:textId="77777777" w:rsidR="00E219D7" w:rsidRDefault="00E219D7" w:rsidP="00E219D7">
      <w:r>
        <w:t>In the absence of a valid representative, t</w:t>
      </w:r>
      <w:r w:rsidRPr="009312F5">
        <w:t xml:space="preserve">he healthcare professional must </w:t>
      </w:r>
      <w:r>
        <w:t>instead m</w:t>
      </w:r>
      <w:r w:rsidRPr="009312F5">
        <w:t xml:space="preserve">ake decisions.  This needs to take into account the patient’s best interests and any previously expressed </w:t>
      </w:r>
      <w:proofErr w:type="gramStart"/>
      <w:r w:rsidRPr="009312F5">
        <w:t>wishes, and</w:t>
      </w:r>
      <w:proofErr w:type="gramEnd"/>
      <w:r w:rsidRPr="009312F5">
        <w:t xml:space="preserve"> be informed by the views of relatives or carers as to the likely wishes of the patient.</w:t>
      </w:r>
      <w:r>
        <w:t xml:space="preserve"> In this case, i</w:t>
      </w:r>
      <w:r w:rsidRPr="009312F5">
        <w:t xml:space="preserve">t may be necessary to share personal information with a </w:t>
      </w:r>
      <w:r>
        <w:t>patient</w:t>
      </w:r>
      <w:r w:rsidRPr="009312F5">
        <w:t xml:space="preserve">'s relatives, friends or carers to enable assessment of the </w:t>
      </w:r>
      <w:r>
        <w:t>patient</w:t>
      </w:r>
      <w:r w:rsidRPr="009312F5">
        <w:t xml:space="preserve">'s best interests. </w:t>
      </w:r>
      <w:r>
        <w:t>This</w:t>
      </w:r>
      <w:r w:rsidRPr="009312F5">
        <w:t xml:space="preserve"> does not mean they have a general right of access to the patient's </w:t>
      </w:r>
      <w:r>
        <w:t xml:space="preserve">health </w:t>
      </w:r>
      <w:r w:rsidRPr="009312F5">
        <w:t xml:space="preserve">records.  </w:t>
      </w:r>
    </w:p>
    <w:p w14:paraId="0BD02CE7" w14:textId="77777777" w:rsidR="00E219D7" w:rsidRDefault="00E219D7" w:rsidP="00E219D7"/>
    <w:p w14:paraId="4C573FFB" w14:textId="77777777" w:rsidR="00677926" w:rsidRDefault="00E219D7" w:rsidP="00FC321E">
      <w:r w:rsidRPr="009312F5">
        <w:t xml:space="preserve">For further information about patients’ capacity to give consent, please refer </w:t>
      </w:r>
      <w:r>
        <w:t>to the</w:t>
      </w:r>
      <w:r w:rsidRPr="009312F5">
        <w:t xml:space="preserve"> Mental Capacity Act 2005 Policy and Procedures (Ref </w:t>
      </w:r>
      <w:r w:rsidR="00542EFF">
        <w:t>17</w:t>
      </w:r>
      <w:r w:rsidRPr="009312F5">
        <w:t>).</w:t>
      </w:r>
      <w:r w:rsidR="00677926">
        <w:br w:type="page"/>
      </w:r>
    </w:p>
    <w:p w14:paraId="4A3E6483" w14:textId="77777777" w:rsidR="00677926" w:rsidRDefault="00677926" w:rsidP="00677926">
      <w:pPr>
        <w:pStyle w:val="Heading1"/>
      </w:pPr>
      <w:bookmarkStart w:id="135" w:name="_Toc84321254"/>
      <w:r>
        <w:lastRenderedPageBreak/>
        <w:t>Appendix D – Examples of Disclosures</w:t>
      </w:r>
      <w:bookmarkEnd w:id="135"/>
    </w:p>
    <w:p w14:paraId="56A2D7BF" w14:textId="77777777" w:rsidR="00677926" w:rsidRDefault="00677926" w:rsidP="00677926">
      <w:r>
        <w:t xml:space="preserve">To determine whether information can be disclosed (released or shared), the legal basis must be </w:t>
      </w:r>
      <w:proofErr w:type="gramStart"/>
      <w:r>
        <w:t>determined</w:t>
      </w:r>
      <w:proofErr w:type="gramEnd"/>
      <w:r>
        <w:t xml:space="preserve"> and consideration given as to whether there is any overriding confidentiality owed to the data subject. </w:t>
      </w:r>
    </w:p>
    <w:p w14:paraId="403B9247" w14:textId="77777777" w:rsidR="00677926" w:rsidRDefault="00677926" w:rsidP="00677926"/>
    <w:p w14:paraId="48678A1B" w14:textId="77777777" w:rsidR="00677926" w:rsidRDefault="00677926" w:rsidP="00677926">
      <w:r>
        <w:t xml:space="preserve">For all types of disclosures, whether listed in this section or otherwise, the following rules must be followed. </w:t>
      </w:r>
    </w:p>
    <w:p w14:paraId="4729FF41" w14:textId="77777777" w:rsidR="00677926" w:rsidRDefault="00677926" w:rsidP="00677926"/>
    <w:p w14:paraId="31324B76" w14:textId="77777777" w:rsidR="00677926" w:rsidRDefault="00677926" w:rsidP="00677926">
      <w:pPr>
        <w:pStyle w:val="ListParagraph"/>
        <w:numPr>
          <w:ilvl w:val="0"/>
          <w:numId w:val="35"/>
        </w:numPr>
        <w:spacing w:after="120"/>
      </w:pPr>
      <w:r>
        <w:t xml:space="preserve">Everyone has a basic right to confidentiality. This applies equally to persons living or deceased, adult or child, mentally competent or lacking </w:t>
      </w:r>
      <w:proofErr w:type="gramStart"/>
      <w:r>
        <w:t>capacity;</w:t>
      </w:r>
      <w:proofErr w:type="gramEnd"/>
      <w:r>
        <w:t xml:space="preserve"> </w:t>
      </w:r>
    </w:p>
    <w:p w14:paraId="7185C874" w14:textId="77777777" w:rsidR="00677926" w:rsidRDefault="00677926" w:rsidP="00677926">
      <w:pPr>
        <w:pStyle w:val="ListParagraph"/>
        <w:numPr>
          <w:ilvl w:val="0"/>
          <w:numId w:val="35"/>
        </w:numPr>
        <w:spacing w:after="120"/>
      </w:pPr>
      <w:r>
        <w:t>There must be a lawful basis for processing data within the DPA/GDPR; and</w:t>
      </w:r>
    </w:p>
    <w:p w14:paraId="3467FB22" w14:textId="77777777" w:rsidR="00677926" w:rsidRDefault="00677926" w:rsidP="00677926">
      <w:pPr>
        <w:pStyle w:val="ListParagraph"/>
        <w:numPr>
          <w:ilvl w:val="0"/>
          <w:numId w:val="35"/>
        </w:numPr>
        <w:spacing w:after="120"/>
      </w:pPr>
      <w:r>
        <w:t xml:space="preserve">The rights of the data subject must be considered, </w:t>
      </w:r>
      <w:proofErr w:type="gramStart"/>
      <w:r>
        <w:t>e.g.</w:t>
      </w:r>
      <w:proofErr w:type="gramEnd"/>
      <w:r>
        <w:t xml:space="preserve"> have they objected to processing?</w:t>
      </w:r>
    </w:p>
    <w:p w14:paraId="141A1DE6" w14:textId="77777777" w:rsidR="00677926" w:rsidRDefault="00677926" w:rsidP="00677926">
      <w:pPr>
        <w:spacing w:after="120"/>
        <w:ind w:left="360"/>
      </w:pPr>
      <w:r>
        <w:t>When considering the amount of data that can be used, remember:</w:t>
      </w:r>
    </w:p>
    <w:p w14:paraId="48F9AC2A" w14:textId="77777777" w:rsidR="00677926" w:rsidRDefault="00677926" w:rsidP="00677926">
      <w:pPr>
        <w:pStyle w:val="ListParagraph"/>
        <w:numPr>
          <w:ilvl w:val="0"/>
          <w:numId w:val="35"/>
        </w:numPr>
        <w:spacing w:after="120"/>
      </w:pPr>
      <w:r>
        <w:t xml:space="preserve">Identifiable data should only be disclosed if absolutely </w:t>
      </w:r>
      <w:proofErr w:type="gramStart"/>
      <w:r>
        <w:t>necessary;</w:t>
      </w:r>
      <w:proofErr w:type="gramEnd"/>
    </w:p>
    <w:p w14:paraId="2D4E9629" w14:textId="77777777" w:rsidR="00677926" w:rsidRDefault="00EE48C1" w:rsidP="00677926">
      <w:pPr>
        <w:pStyle w:val="ListParagraph"/>
        <w:numPr>
          <w:ilvl w:val="0"/>
          <w:numId w:val="35"/>
        </w:numPr>
        <w:spacing w:after="120"/>
      </w:pPr>
      <w:r>
        <w:t>Minimal</w:t>
      </w:r>
      <w:r w:rsidR="00677926">
        <w:t xml:space="preserve"> data must be used (consider whether personal data can be anonymised or pseudonymised); and</w:t>
      </w:r>
    </w:p>
    <w:p w14:paraId="3AE360A3" w14:textId="77777777" w:rsidR="00677926" w:rsidRDefault="00677926" w:rsidP="00677926">
      <w:pPr>
        <w:pStyle w:val="ListParagraph"/>
        <w:numPr>
          <w:ilvl w:val="0"/>
          <w:numId w:val="35"/>
        </w:numPr>
        <w:spacing w:after="120"/>
      </w:pPr>
      <w:r>
        <w:t>Determine who needs the information and keep it on a strict-need-to-know basis.</w:t>
      </w:r>
    </w:p>
    <w:p w14:paraId="3FFF1A77" w14:textId="77777777" w:rsidR="00677926" w:rsidRPr="00677926" w:rsidRDefault="00677926" w:rsidP="00677926">
      <w:pPr>
        <w:spacing w:after="120"/>
        <w:rPr>
          <w:b/>
        </w:rPr>
      </w:pPr>
      <w:r w:rsidRPr="00677926">
        <w:rPr>
          <w:b/>
        </w:rPr>
        <w:t>Disclosing Information to the Patient’s Family or Friends</w:t>
      </w:r>
    </w:p>
    <w:p w14:paraId="38A72B7C" w14:textId="77777777" w:rsidR="00677926" w:rsidRDefault="00677926" w:rsidP="00677926">
      <w:r>
        <w:t>Information can only be shared with a patient’s next of kin, friends or relatives where consent has been obtained from the patient. Next of kin do not have an automatic right to any patient information.</w:t>
      </w:r>
    </w:p>
    <w:p w14:paraId="003C0F3D" w14:textId="77777777" w:rsidR="00677926" w:rsidRDefault="00677926" w:rsidP="00677926"/>
    <w:p w14:paraId="1B214CD0" w14:textId="7398D898" w:rsidR="00677926" w:rsidRDefault="00677926" w:rsidP="00677926">
      <w:r>
        <w:t xml:space="preserve">Where the patient is unconscious or is not competent to consent, the healthcare team may have to decide whether to release the information. This decision can be undertaken in consultation with the Trust’s Caldicott Guardian or the Information Governance </w:t>
      </w:r>
      <w:r w:rsidR="00BF350D">
        <w:t>team</w:t>
      </w:r>
      <w:r>
        <w:t>.</w:t>
      </w:r>
    </w:p>
    <w:p w14:paraId="678C7D23" w14:textId="77777777" w:rsidR="00677926" w:rsidRDefault="00677926" w:rsidP="00677926"/>
    <w:p w14:paraId="13A98B13" w14:textId="77777777" w:rsidR="00677926" w:rsidRDefault="00677926" w:rsidP="00677926">
      <w:r>
        <w:t>As part of the admission process, patients may be asked in advance whether they wish for information about their care to be shared with a named representative (usually a relative or friend).</w:t>
      </w:r>
    </w:p>
    <w:p w14:paraId="6A4905D5" w14:textId="77777777" w:rsidR="00677926" w:rsidRDefault="00677926" w:rsidP="00677926"/>
    <w:p w14:paraId="0E71A37C" w14:textId="77777777" w:rsidR="00677926" w:rsidRPr="00677926" w:rsidRDefault="00677926" w:rsidP="00677926">
      <w:pPr>
        <w:spacing w:after="120"/>
        <w:rPr>
          <w:b/>
        </w:rPr>
      </w:pPr>
      <w:r w:rsidRPr="00677926">
        <w:rPr>
          <w:b/>
        </w:rPr>
        <w:t>Disclosing Information to the Police, Fraud Officer or Other Enforcement Agency</w:t>
      </w:r>
    </w:p>
    <w:p w14:paraId="38997D20" w14:textId="77777777" w:rsidR="00677926" w:rsidRDefault="00677926" w:rsidP="00677926">
      <w:r>
        <w:t>All enquiries from enforcement agencies should be referred to a senior/nurse manager, or the on-call Manager.  The police or other enforcement agencies do not have an automatic right to information. No information should be given without the data subject's consent, unless one of the exemptions under the DPA 2018 applies, such as when:</w:t>
      </w:r>
    </w:p>
    <w:p w14:paraId="73620D7D" w14:textId="386FBC76" w:rsidR="00677926" w:rsidRDefault="00677926" w:rsidP="00677926">
      <w:pPr>
        <w:pStyle w:val="ListParagraph"/>
        <w:numPr>
          <w:ilvl w:val="0"/>
          <w:numId w:val="29"/>
        </w:numPr>
        <w:spacing w:before="120" w:after="120"/>
        <w:ind w:left="568" w:hanging="284"/>
      </w:pPr>
      <w:r>
        <w:t>It is necessary for the prevention or detection of an unlawful act (crime). It must be unreasonable to gain consent and sharing must be for reasons of substantial public interest. Examples of this could be a serious assault, attempted murder or sexual assault</w:t>
      </w:r>
      <w:r w:rsidR="002C0D27">
        <w:t>, including but not limited to, where</w:t>
      </w:r>
      <w:r w:rsidR="002C0D27" w:rsidRPr="002C0D27">
        <w:t xml:space="preserve"> a girl under the age of 18 has been subject to genital mutilation</w:t>
      </w:r>
      <w:r w:rsidR="002C0D27">
        <w:t xml:space="preserve"> as per the</w:t>
      </w:r>
      <w:r w:rsidR="002C0D27" w:rsidRPr="002C0D27">
        <w:t xml:space="preserve"> Female Genital Mutilation Act (2003)</w:t>
      </w:r>
      <w:r>
        <w:t xml:space="preserve">. </w:t>
      </w:r>
    </w:p>
    <w:p w14:paraId="13AC5E96" w14:textId="77777777" w:rsidR="00677926" w:rsidRDefault="00677926" w:rsidP="00677926">
      <w:pPr>
        <w:pStyle w:val="ListParagraph"/>
        <w:numPr>
          <w:ilvl w:val="0"/>
          <w:numId w:val="29"/>
        </w:numPr>
        <w:spacing w:before="120" w:after="120"/>
        <w:ind w:left="568" w:hanging="284"/>
      </w:pPr>
      <w:r>
        <w:t>It is necessary to protect the public against dishonesty. It must be unreasonable to gain consent and sharing must be for reasons of substantial public interest. Examples of this could be dishonesty relating to a clinician’s qualifications, malpractice, fitness to practice concerns or serious failures/mismanagement of a healthcare body.</w:t>
      </w:r>
    </w:p>
    <w:p w14:paraId="56B562CD" w14:textId="77777777" w:rsidR="00677926" w:rsidRDefault="00677926" w:rsidP="00677926">
      <w:pPr>
        <w:pStyle w:val="ListParagraph"/>
        <w:numPr>
          <w:ilvl w:val="0"/>
          <w:numId w:val="29"/>
        </w:numPr>
        <w:spacing w:before="120" w:after="120"/>
        <w:ind w:left="568" w:hanging="284"/>
      </w:pPr>
      <w:r>
        <w:t xml:space="preserve">It is necessary to protect the public against unlawful acts and dishonesty (regulatory). It must be unreasonable to gain consent and sharing must be for reasons of </w:t>
      </w:r>
      <w:r>
        <w:lastRenderedPageBreak/>
        <w:t>substantial public interest. Examples of this include a failure to act on a requirement imposed by legislation or accepted principles of good practice.</w:t>
      </w:r>
    </w:p>
    <w:p w14:paraId="079C492A" w14:textId="77777777" w:rsidR="00677926" w:rsidRDefault="00677926" w:rsidP="00677926">
      <w:pPr>
        <w:pStyle w:val="ListParagraph"/>
        <w:numPr>
          <w:ilvl w:val="0"/>
          <w:numId w:val="29"/>
        </w:numPr>
        <w:spacing w:before="120" w:after="120"/>
        <w:ind w:left="568" w:hanging="284"/>
      </w:pPr>
      <w:r>
        <w:t>It is necessary to prevent fraud. The disclosure must be to a member of an anti-fraud organisation.</w:t>
      </w:r>
    </w:p>
    <w:p w14:paraId="11AF78F2" w14:textId="77777777" w:rsidR="00677926" w:rsidRDefault="00677926" w:rsidP="00677926">
      <w:pPr>
        <w:pStyle w:val="ListParagraph"/>
        <w:numPr>
          <w:ilvl w:val="0"/>
          <w:numId w:val="29"/>
        </w:numPr>
        <w:spacing w:before="120" w:after="120"/>
        <w:ind w:left="568" w:hanging="284"/>
      </w:pPr>
      <w:r>
        <w:t>It is necessary due to a suspicion of terrorist financing or money laundering. Disclosures can be made pursuant to the Terrorism Act 2000</w:t>
      </w:r>
      <w:r w:rsidR="00542EFF">
        <w:t xml:space="preserve"> (Ref 18)</w:t>
      </w:r>
      <w:r>
        <w:t xml:space="preserve"> or the Proceeds of Crime Act 2002</w:t>
      </w:r>
      <w:r w:rsidR="00542EFF">
        <w:t xml:space="preserve"> (Ref 19)</w:t>
      </w:r>
      <w:r>
        <w:t xml:space="preserve">, respectively.  </w:t>
      </w:r>
    </w:p>
    <w:p w14:paraId="13BFA798" w14:textId="77777777" w:rsidR="00EE48C1" w:rsidRDefault="00EE48C1" w:rsidP="00677926">
      <w:r>
        <w:t>In general requests for information from the police, fraud officer or other enforcement agency will be made in writing (the police have a standard form for this purpose) and will be signed by the data subject to confirm that they give their consent to disclosure of their personal information.</w:t>
      </w:r>
    </w:p>
    <w:p w14:paraId="3A8D373A" w14:textId="77777777" w:rsidR="00EE48C1" w:rsidRDefault="00EE48C1" w:rsidP="00677926"/>
    <w:p w14:paraId="568C9113" w14:textId="74C9BCBC" w:rsidR="00CF26DC" w:rsidRDefault="00677926" w:rsidP="00677926">
      <w:r>
        <w:t xml:space="preserve">In addition to the areas above where information can be disclosed to the police or other enforcement agencies, Article 23 (d) of the </w:t>
      </w:r>
      <w:r w:rsidR="00FF4511">
        <w:t xml:space="preserve">UK </w:t>
      </w:r>
      <w:r>
        <w:t>GDPR states that the data subject cannot object to or restrict the processing of data if it relates to ‘the prevention, investigation, detection or prosecution of criminal offences or the execution of criminal penalties, including the safeguarding against and the prevention of threats to public security’.</w:t>
      </w:r>
    </w:p>
    <w:p w14:paraId="69A65A0B" w14:textId="77777777" w:rsidR="00CF26DC" w:rsidRDefault="00CF26DC" w:rsidP="00677926"/>
    <w:p w14:paraId="2DD95787" w14:textId="77777777" w:rsidR="00677926" w:rsidRDefault="00CF26DC" w:rsidP="00677926">
      <w:proofErr w:type="gramStart"/>
      <w:r>
        <w:t>In the event that</w:t>
      </w:r>
      <w:proofErr w:type="gramEnd"/>
      <w:r>
        <w:t xml:space="preserve"> information sharing is essential at the time of a major incident, for example, please refer to the checklist “</w:t>
      </w:r>
      <w:r w:rsidRPr="00CF26DC">
        <w:t xml:space="preserve">Disclosure of personal </w:t>
      </w:r>
      <w:proofErr w:type="spellStart"/>
      <w:r w:rsidRPr="00CF26DC">
        <w:t>information_urgent</w:t>
      </w:r>
      <w:proofErr w:type="spellEnd"/>
      <w:r w:rsidRPr="00CF26DC">
        <w:t xml:space="preserve"> requests</w:t>
      </w:r>
      <w:r>
        <w:t xml:space="preserve">” which is held in the </w:t>
      </w:r>
      <w:proofErr w:type="spellStart"/>
      <w:r>
        <w:t>iRespond</w:t>
      </w:r>
      <w:proofErr w:type="spellEnd"/>
      <w:r>
        <w:t xml:space="preserve"> system managed by the Resilience Team and available on staff desktops.</w:t>
      </w:r>
    </w:p>
    <w:p w14:paraId="05FF8F5E" w14:textId="77777777" w:rsidR="00677926" w:rsidRDefault="00677926" w:rsidP="00677926"/>
    <w:p w14:paraId="382BBAE7" w14:textId="77777777" w:rsidR="00677926" w:rsidRPr="00677926" w:rsidRDefault="00677926" w:rsidP="00677926">
      <w:pPr>
        <w:spacing w:after="120"/>
        <w:rPr>
          <w:b/>
        </w:rPr>
      </w:pPr>
      <w:r w:rsidRPr="00677926">
        <w:rPr>
          <w:b/>
        </w:rPr>
        <w:t>Disclosing Information for Safeguarding Concerns</w:t>
      </w:r>
    </w:p>
    <w:p w14:paraId="00ADFAC7" w14:textId="77777777" w:rsidR="00677926" w:rsidRDefault="00677926" w:rsidP="00677926">
      <w:r>
        <w:t xml:space="preserve">The DPA 2018 allows for processing of special category data when there is risk to an individual of harm or for their wellbeing. This includes a risk of neglect or physical, mental or emotional harm; or, to physical, mental or emotional wellbeing. </w:t>
      </w:r>
    </w:p>
    <w:p w14:paraId="2D7A4304" w14:textId="77777777" w:rsidR="00677926" w:rsidRDefault="00677926" w:rsidP="00677926"/>
    <w:p w14:paraId="4669B610" w14:textId="77777777" w:rsidR="00677926" w:rsidRDefault="00677926" w:rsidP="00677926">
      <w:r>
        <w:t xml:space="preserve">Consent should be sought where </w:t>
      </w:r>
      <w:proofErr w:type="gramStart"/>
      <w:r>
        <w:t>possible</w:t>
      </w:r>
      <w:proofErr w:type="gramEnd"/>
      <w:r>
        <w:t xml:space="preserve"> and the wishes of the child or vulnerable adult should also be taken into account. However, disclosure of information is permitted when it is not possible to gain consent, it cannot be reasonably expected that a practitioner gains consent, or if to gain consent would place a child or vulnerable adult at risk. </w:t>
      </w:r>
    </w:p>
    <w:p w14:paraId="607A5F56" w14:textId="77777777" w:rsidR="00677926" w:rsidRDefault="00677926" w:rsidP="00677926"/>
    <w:p w14:paraId="51A84E64" w14:textId="77777777" w:rsidR="00677926" w:rsidRDefault="00677926" w:rsidP="00677926">
      <w:r>
        <w:t xml:space="preserve">For more </w:t>
      </w:r>
      <w:proofErr w:type="gramStart"/>
      <w:r>
        <w:t>information</w:t>
      </w:r>
      <w:proofErr w:type="gramEnd"/>
      <w:r>
        <w:t xml:space="preserve"> please refer to Working Together to Safeguarding Children 2018 (</w:t>
      </w:r>
      <w:r w:rsidR="004D11F7">
        <w:t>R</w:t>
      </w:r>
      <w:r>
        <w:t xml:space="preserve">ef </w:t>
      </w:r>
      <w:r w:rsidR="00542EFF">
        <w:t>20</w:t>
      </w:r>
      <w:r>
        <w:t xml:space="preserve">) and the </w:t>
      </w:r>
      <w:r w:rsidR="004D11F7">
        <w:rPr>
          <w:szCs w:val="24"/>
        </w:rPr>
        <w:t>Information S</w:t>
      </w:r>
      <w:r w:rsidR="004D11F7" w:rsidRPr="004D11F7">
        <w:rPr>
          <w:szCs w:val="24"/>
        </w:rPr>
        <w:t>haring</w:t>
      </w:r>
      <w:r w:rsidR="004D11F7">
        <w:rPr>
          <w:szCs w:val="24"/>
        </w:rPr>
        <w:t xml:space="preserve"> A</w:t>
      </w:r>
      <w:r w:rsidR="004D11F7" w:rsidRPr="004D11F7">
        <w:rPr>
          <w:szCs w:val="24"/>
        </w:rPr>
        <w:t>dvice</w:t>
      </w:r>
      <w:r w:rsidR="004D11F7">
        <w:rPr>
          <w:szCs w:val="24"/>
        </w:rPr>
        <w:t xml:space="preserve"> for P</w:t>
      </w:r>
      <w:r w:rsidR="004D11F7" w:rsidRPr="004D11F7">
        <w:rPr>
          <w:szCs w:val="24"/>
        </w:rPr>
        <w:t>ractitioners</w:t>
      </w:r>
      <w:r w:rsidR="004D11F7">
        <w:rPr>
          <w:szCs w:val="24"/>
        </w:rPr>
        <w:t xml:space="preserve"> Providing S</w:t>
      </w:r>
      <w:r w:rsidR="004D11F7" w:rsidRPr="004D11F7">
        <w:rPr>
          <w:szCs w:val="24"/>
        </w:rPr>
        <w:t>afeguarding</w:t>
      </w:r>
      <w:r w:rsidR="004D11F7">
        <w:rPr>
          <w:szCs w:val="24"/>
        </w:rPr>
        <w:t xml:space="preserve"> S</w:t>
      </w:r>
      <w:r w:rsidR="004D11F7" w:rsidRPr="004D11F7">
        <w:rPr>
          <w:szCs w:val="24"/>
        </w:rPr>
        <w:t>ervices</w:t>
      </w:r>
      <w:r>
        <w:t xml:space="preserve"> (</w:t>
      </w:r>
      <w:r w:rsidR="004D11F7">
        <w:t>R</w:t>
      </w:r>
      <w:r>
        <w:t xml:space="preserve">ef </w:t>
      </w:r>
      <w:r w:rsidR="00542EFF">
        <w:t>2</w:t>
      </w:r>
      <w:r w:rsidR="004D11F7">
        <w:t>1</w:t>
      </w:r>
      <w:r>
        <w:t xml:space="preserve">). </w:t>
      </w:r>
    </w:p>
    <w:p w14:paraId="40D43E9A" w14:textId="77777777" w:rsidR="00677926" w:rsidRDefault="00677926" w:rsidP="00677926"/>
    <w:p w14:paraId="29725F7B" w14:textId="77777777" w:rsidR="00677926" w:rsidRPr="00677926" w:rsidRDefault="00677926" w:rsidP="00677926">
      <w:pPr>
        <w:spacing w:after="120"/>
        <w:rPr>
          <w:b/>
        </w:rPr>
      </w:pPr>
      <w:r w:rsidRPr="00677926">
        <w:rPr>
          <w:b/>
        </w:rPr>
        <w:t>Disclosing Information to Regulators and the Ombudsmen</w:t>
      </w:r>
    </w:p>
    <w:p w14:paraId="23C5BABE" w14:textId="77777777" w:rsidR="00677926" w:rsidRDefault="00677926" w:rsidP="00677926">
      <w:r>
        <w:t>The Care Quality Commission (CQC) has powers under the Health and Social Care Act 2008</w:t>
      </w:r>
      <w:r w:rsidR="00542EFF">
        <w:t xml:space="preserve"> (Ref 22)</w:t>
      </w:r>
      <w:r>
        <w:t xml:space="preserve"> to access medical records for the purposes of exercising its functions. Inspectors will only use this power to look at a patient's medical records where there is a defined reason to do so, and where intrusion to the privacy of that patient is justified and proportionate. The national data opt-out will not apply to CQC's access to records. The CQC will respect the patient’s wishes unless there is an overriding need to look at that </w:t>
      </w:r>
      <w:proofErr w:type="gramStart"/>
      <w:r>
        <w:t>particular record</w:t>
      </w:r>
      <w:proofErr w:type="gramEnd"/>
      <w:r>
        <w:t>.</w:t>
      </w:r>
    </w:p>
    <w:p w14:paraId="7399C251" w14:textId="77777777" w:rsidR="00677926" w:rsidRDefault="00677926" w:rsidP="00677926"/>
    <w:p w14:paraId="6CC09F93" w14:textId="77777777" w:rsidR="00677926" w:rsidRDefault="00677926" w:rsidP="00677926">
      <w:r>
        <w:t xml:space="preserve">The UK healthcare regulators have a statutory right to information when conducting investigations, known as </w:t>
      </w:r>
      <w:proofErr w:type="gramStart"/>
      <w:r>
        <w:t>fitness</w:t>
      </w:r>
      <w:proofErr w:type="gramEnd"/>
      <w:r>
        <w:t xml:space="preserve"> to practise cases. The two largest of these regulators, the Nursing and Midwifery Council (NMC) and the General Medical Council (GMC) have this power pursuant to the Nursing &amp; Midwifery Order 2001 section 25.1</w:t>
      </w:r>
      <w:r w:rsidR="00542EFF">
        <w:t xml:space="preserve"> (Ref 23)</w:t>
      </w:r>
      <w:r>
        <w:t xml:space="preserve"> and the Medical Act 1983 (Amendment) Order 2000 Article 4</w:t>
      </w:r>
      <w:r w:rsidR="00542EFF">
        <w:t xml:space="preserve"> (Ref 24)</w:t>
      </w:r>
      <w:r>
        <w:t xml:space="preserve">, respectively. </w:t>
      </w:r>
    </w:p>
    <w:p w14:paraId="34B6B7E0" w14:textId="77777777" w:rsidR="00677926" w:rsidRDefault="00677926" w:rsidP="00677926"/>
    <w:p w14:paraId="60B8CE63" w14:textId="77777777" w:rsidR="00677926" w:rsidRDefault="00677926" w:rsidP="00677926">
      <w:r>
        <w:lastRenderedPageBreak/>
        <w:t>The Parliamentary and Health Service Ombudsman (PHSO) is an independent complaint handling service. Information related to an unresolved complaint can be shared with the Ombudsman pursuant to the Ombudsmen Health Service Commissioners Act 1993 section 12</w:t>
      </w:r>
      <w:r w:rsidR="00542EFF">
        <w:t xml:space="preserve"> (Ref 25)</w:t>
      </w:r>
      <w:r>
        <w:t xml:space="preserve">. </w:t>
      </w:r>
    </w:p>
    <w:p w14:paraId="2CD286C8" w14:textId="77777777" w:rsidR="00677926" w:rsidRDefault="00677926" w:rsidP="00677926"/>
    <w:p w14:paraId="23895FD4" w14:textId="77777777" w:rsidR="00677926" w:rsidRDefault="00677926" w:rsidP="00677926">
      <w:pPr>
        <w:spacing w:after="120"/>
      </w:pPr>
      <w:r w:rsidRPr="00677926">
        <w:rPr>
          <w:b/>
        </w:rPr>
        <w:t>Disclosing Information for Commissioning Purposes</w:t>
      </w:r>
    </w:p>
    <w:p w14:paraId="682E1231" w14:textId="49BA420B" w:rsidR="00677926" w:rsidRDefault="00677926" w:rsidP="00677926">
      <w:r>
        <w:t xml:space="preserve">Clinical Commissioning Groups (CCGs) are not permitted to process personally identifiable data </w:t>
      </w:r>
      <w:r w:rsidR="00FF4511">
        <w:t xml:space="preserve">for general commissioning purposes </w:t>
      </w:r>
      <w:r>
        <w:t>without authorisation from the data subject.</w:t>
      </w:r>
      <w:r w:rsidR="00FF4511">
        <w:t xml:space="preserve"> </w:t>
      </w:r>
      <w:r w:rsidR="00654D0D">
        <w:t>T</w:t>
      </w:r>
      <w:r w:rsidR="00FF4511">
        <w:t xml:space="preserve">he CCG can </w:t>
      </w:r>
      <w:r w:rsidR="00654D0D">
        <w:t xml:space="preserve">sometimes collate identifiable information </w:t>
      </w:r>
      <w:r w:rsidR="00FF4511">
        <w:t xml:space="preserve">between </w:t>
      </w:r>
      <w:r w:rsidR="00654D0D">
        <w:t>p</w:t>
      </w:r>
      <w:r w:rsidR="00FF4511">
        <w:t xml:space="preserve">rimary </w:t>
      </w:r>
      <w:r w:rsidR="00654D0D">
        <w:t>and/</w:t>
      </w:r>
      <w:r w:rsidR="00FF4511">
        <w:t xml:space="preserve">or </w:t>
      </w:r>
      <w:r w:rsidR="00654D0D">
        <w:t xml:space="preserve">acute </w:t>
      </w:r>
      <w:r w:rsidR="00FF4511">
        <w:t>care</w:t>
      </w:r>
      <w:r w:rsidR="00654D0D">
        <w:t xml:space="preserve"> for support services or further analysis provided by external processors</w:t>
      </w:r>
      <w:r w:rsidR="00FF4511">
        <w:t>; this is always under a sharing</w:t>
      </w:r>
      <w:r w:rsidR="00654D0D">
        <w:t>/processing</w:t>
      </w:r>
      <w:r w:rsidR="00FF4511">
        <w:t xml:space="preserve"> agreement</w:t>
      </w:r>
      <w:r w:rsidR="00654D0D">
        <w:t>. Any data used/stored by the CCG for secondary uses must be anonymised</w:t>
      </w:r>
      <w:r w:rsidR="00FF4511">
        <w:t xml:space="preserve">. </w:t>
      </w:r>
      <w:r>
        <w:t>Under the H</w:t>
      </w:r>
      <w:r w:rsidR="00542EFF">
        <w:t>ealth and Social Care Act 2012 (Ref 26)</w:t>
      </w:r>
      <w:r>
        <w:t>, NHS Digital provides an intermediary service called Data Services for Commissioners Regional Office (DSCRO). For general funding or commissioning requests, the patient level data must be sent to the DSCRO directly, who will link a patient’s events without revealing the identity of that person. For requests relating to complaints, these should be done with the consent of the data subject. Request a copy of the consent before any data is shared.</w:t>
      </w:r>
    </w:p>
    <w:p w14:paraId="4A7CDB42" w14:textId="77777777" w:rsidR="00677926" w:rsidRDefault="00677926" w:rsidP="00677926"/>
    <w:p w14:paraId="32F45DAD" w14:textId="77777777" w:rsidR="00677926" w:rsidRPr="00677926" w:rsidRDefault="00677926" w:rsidP="00677926">
      <w:pPr>
        <w:spacing w:after="120"/>
        <w:rPr>
          <w:b/>
        </w:rPr>
      </w:pPr>
      <w:r w:rsidRPr="00677926">
        <w:rPr>
          <w:b/>
        </w:rPr>
        <w:t>Disclosing Information for Auditing Purposes</w:t>
      </w:r>
    </w:p>
    <w:p w14:paraId="63BA827F" w14:textId="77777777" w:rsidR="00677926" w:rsidRDefault="00677926" w:rsidP="00677926">
      <w:r>
        <w:t xml:space="preserve">As a public authority, the Trust is required to publish its annual report and accounts. There is also an internal and external audit assurance and risk programme. To facilitate these processes, the auditor(s) will need access to confidential information, often of a sensitive financial nature or in relation to risk management. </w:t>
      </w:r>
    </w:p>
    <w:p w14:paraId="052D3B60" w14:textId="77777777" w:rsidR="00677926" w:rsidRDefault="00677926" w:rsidP="00677926"/>
    <w:p w14:paraId="334B814E" w14:textId="77777777" w:rsidR="00677926" w:rsidRDefault="00677926" w:rsidP="00677926">
      <w:r>
        <w:t xml:space="preserve">The auditor(s) will work under the terms of a contract and their industry code of ethics, as well as agreeing with the Trust the terms of reference for the audit. Information requested by the auditor can include, but is not limited to, sets of accounts, risk registers and minutes of meetings. These can be provided under the public task lawful basis as there is a requirement to ensure that the Trust operates correctly and efficiently as a public authority. No patient identifiable data should ever be disclosed.  </w:t>
      </w:r>
    </w:p>
    <w:p w14:paraId="72AC6659" w14:textId="77777777" w:rsidR="00677926" w:rsidRDefault="00677926" w:rsidP="00677926"/>
    <w:p w14:paraId="5ADF5C71" w14:textId="77777777" w:rsidR="00677926" w:rsidRPr="00677926" w:rsidRDefault="00677926" w:rsidP="00677926">
      <w:pPr>
        <w:spacing w:after="120"/>
        <w:rPr>
          <w:b/>
        </w:rPr>
      </w:pPr>
      <w:r w:rsidRPr="00677926">
        <w:rPr>
          <w:b/>
        </w:rPr>
        <w:t>Disclosing Information to the Media</w:t>
      </w:r>
    </w:p>
    <w:p w14:paraId="45EA3B7C" w14:textId="77777777" w:rsidR="00677926" w:rsidRDefault="00677926" w:rsidP="00677926">
      <w:r>
        <w:t xml:space="preserve">Requests for information by the media must be dealt with by authorised Senior Managers and/or the </w:t>
      </w:r>
      <w:r w:rsidR="00E376EA">
        <w:t>Trust</w:t>
      </w:r>
      <w:r>
        <w:t xml:space="preserve"> Communications team on 01793 60(4418).  If a request is received from the media </w:t>
      </w:r>
      <w:r w:rsidR="00E376EA">
        <w:t>in person</w:t>
      </w:r>
      <w:r>
        <w:t xml:space="preserve"> or by phone, the</w:t>
      </w:r>
      <w:r w:rsidR="00E376EA">
        <w:t>y</w:t>
      </w:r>
      <w:r>
        <w:t xml:space="preserve"> must be referred to the On-Call Manager or to the </w:t>
      </w:r>
      <w:r w:rsidR="00E376EA">
        <w:t>Trust</w:t>
      </w:r>
      <w:r>
        <w:t xml:space="preserve"> Communications team.</w:t>
      </w:r>
    </w:p>
    <w:p w14:paraId="45F8D51F" w14:textId="77777777" w:rsidR="00E376EA" w:rsidRDefault="00E376EA" w:rsidP="00677926"/>
    <w:p w14:paraId="7614CE44" w14:textId="77777777" w:rsidR="00677926" w:rsidRPr="00E376EA" w:rsidRDefault="00677926" w:rsidP="00E376EA">
      <w:pPr>
        <w:spacing w:after="120"/>
        <w:rPr>
          <w:b/>
        </w:rPr>
      </w:pPr>
      <w:r w:rsidRPr="00E376EA">
        <w:rPr>
          <w:b/>
        </w:rPr>
        <w:t>Disclosing Information to Third Party and Partner Organisations</w:t>
      </w:r>
    </w:p>
    <w:p w14:paraId="1739F5E6" w14:textId="77777777" w:rsidR="00677926" w:rsidRDefault="00677926" w:rsidP="00677926">
      <w:r>
        <w:t>Where another person/NHS organisation requests information about a patient, the requestor must be able to verify their identity and provide evidence that they have a lawful basis to receive the information. This includes requests from GPs, other hospitals, social services, etc.</w:t>
      </w:r>
      <w:r w:rsidR="00E376EA">
        <w:t xml:space="preserve"> </w:t>
      </w:r>
      <w:r>
        <w:t xml:space="preserve">If the requestor’s identity cannot be verified and a lawful basis for sharing is not identified, then no information must be released. </w:t>
      </w:r>
    </w:p>
    <w:p w14:paraId="259B4150" w14:textId="77777777" w:rsidR="00677926" w:rsidRDefault="00677926" w:rsidP="00677926"/>
    <w:p w14:paraId="50255BD9" w14:textId="77777777" w:rsidR="00677926" w:rsidRPr="00E376EA" w:rsidRDefault="00677926" w:rsidP="00E376EA">
      <w:pPr>
        <w:spacing w:after="120"/>
        <w:rPr>
          <w:b/>
        </w:rPr>
      </w:pPr>
      <w:r w:rsidRPr="00E376EA">
        <w:rPr>
          <w:b/>
        </w:rPr>
        <w:t>Subject Access Requests (SARs) and Freedom of Information (FOI) Requests</w:t>
      </w:r>
    </w:p>
    <w:p w14:paraId="4441801A" w14:textId="77777777" w:rsidR="00677926" w:rsidRPr="007527A2" w:rsidRDefault="00677926" w:rsidP="00677926">
      <w:r>
        <w:t xml:space="preserve">For </w:t>
      </w:r>
      <w:proofErr w:type="gramStart"/>
      <w:r>
        <w:t>SARs</w:t>
      </w:r>
      <w:proofErr w:type="gramEnd"/>
      <w:r>
        <w:t xml:space="preserve"> please refer to the Health Records </w:t>
      </w:r>
      <w:r w:rsidR="00E376EA">
        <w:t>Subject Access Requests</w:t>
      </w:r>
      <w:r w:rsidR="004D11F7">
        <w:t xml:space="preserve"> Procedure (R</w:t>
      </w:r>
      <w:r>
        <w:t xml:space="preserve">ef </w:t>
      </w:r>
      <w:r w:rsidR="004D11F7">
        <w:t>2</w:t>
      </w:r>
      <w:r w:rsidR="00542EFF">
        <w:t>7</w:t>
      </w:r>
      <w:r>
        <w:t>)</w:t>
      </w:r>
      <w:r w:rsidR="00E376EA">
        <w:t xml:space="preserve"> and f</w:t>
      </w:r>
      <w:r>
        <w:t xml:space="preserve">or FOI requests please refer to the Freedom of Information </w:t>
      </w:r>
      <w:r w:rsidR="00E376EA">
        <w:t xml:space="preserve">Requests </w:t>
      </w:r>
      <w:r>
        <w:t>Procedure (</w:t>
      </w:r>
      <w:r w:rsidR="004D11F7">
        <w:t>R</w:t>
      </w:r>
      <w:r>
        <w:t xml:space="preserve">ef </w:t>
      </w:r>
      <w:r w:rsidR="00542EFF">
        <w:t>9</w:t>
      </w:r>
      <w:r>
        <w:t>).</w:t>
      </w:r>
    </w:p>
    <w:p w14:paraId="1FDC5158" w14:textId="77777777" w:rsidR="00F4714E" w:rsidRDefault="00F4714E">
      <w:pPr>
        <w:overflowPunct/>
        <w:autoSpaceDE/>
        <w:autoSpaceDN/>
        <w:adjustRightInd/>
        <w:spacing w:after="200" w:line="276" w:lineRule="auto"/>
        <w:jc w:val="left"/>
        <w:textAlignment w:val="auto"/>
      </w:pPr>
      <w:r>
        <w:br w:type="page"/>
      </w:r>
    </w:p>
    <w:p w14:paraId="2B0CABF8" w14:textId="62D5F4A8" w:rsidR="00641412" w:rsidRDefault="00641412" w:rsidP="00641412">
      <w:pPr>
        <w:pStyle w:val="Heading1"/>
      </w:pPr>
      <w:bookmarkStart w:id="136" w:name="_Toc84321255"/>
      <w:r>
        <w:lastRenderedPageBreak/>
        <w:t>Appendix E – National Data Op</w:t>
      </w:r>
      <w:r w:rsidR="00FF4511">
        <w:t>t</w:t>
      </w:r>
      <w:r>
        <w:t>-Out Flowchart</w:t>
      </w:r>
      <w:bookmarkEnd w:id="136"/>
    </w:p>
    <w:p w14:paraId="623584D3" w14:textId="77777777" w:rsidR="00641412" w:rsidRDefault="00641412" w:rsidP="00641412">
      <w:pPr>
        <w:overflowPunct/>
        <w:autoSpaceDE/>
        <w:autoSpaceDN/>
        <w:adjustRightInd/>
        <w:spacing w:after="200" w:line="276" w:lineRule="auto"/>
        <w:jc w:val="left"/>
        <w:textAlignment w:val="auto"/>
      </w:pPr>
      <w:r>
        <w:t>Use the flowchart below to determine whether the national data opt-out applies. If it does then information about people who have opted out must be removed from datasets. To do this, follow the local process to check NHS numbers. Speak to the IG team for more details.</w:t>
      </w:r>
    </w:p>
    <w:p w14:paraId="7AAFAB90" w14:textId="3704828B" w:rsidR="00641412" w:rsidRDefault="00641412" w:rsidP="00AF5C26">
      <w:pPr>
        <w:overflowPunct/>
        <w:autoSpaceDE/>
        <w:autoSpaceDN/>
        <w:adjustRightInd/>
        <w:spacing w:after="200" w:line="276" w:lineRule="auto"/>
        <w:jc w:val="center"/>
        <w:textAlignment w:val="auto"/>
        <w:rPr>
          <w:rFonts w:eastAsiaTheme="majorEastAsia" w:cstheme="majorBidi"/>
          <w:b/>
          <w:bCs/>
          <w:color w:val="000000" w:themeColor="text1"/>
          <w:sz w:val="28"/>
          <w:szCs w:val="28"/>
        </w:rPr>
      </w:pPr>
      <w:r>
        <w:rPr>
          <w:noProof/>
          <w:lang w:eastAsia="en-GB"/>
        </w:rPr>
        <w:drawing>
          <wp:inline distT="0" distB="0" distL="0" distR="0" wp14:anchorId="39534E01" wp14:editId="2167B7AD">
            <wp:extent cx="5334000" cy="7210425"/>
            <wp:effectExtent l="19050" t="19050" r="19050" b="28575"/>
            <wp:docPr id="3" name="Picture 3"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chat or text message&#10;&#10;Description automatically generated"/>
                    <pic:cNvPicPr/>
                  </pic:nvPicPr>
                  <pic:blipFill>
                    <a:blip r:embed="rId39"/>
                    <a:stretch>
                      <a:fillRect/>
                    </a:stretch>
                  </pic:blipFill>
                  <pic:spPr>
                    <a:xfrm>
                      <a:off x="0" y="0"/>
                      <a:ext cx="5334000" cy="7210425"/>
                    </a:xfrm>
                    <a:prstGeom prst="rect">
                      <a:avLst/>
                    </a:prstGeom>
                    <a:ln>
                      <a:solidFill>
                        <a:schemeClr val="bg1">
                          <a:lumMod val="85000"/>
                        </a:schemeClr>
                      </a:solidFill>
                    </a:ln>
                  </pic:spPr>
                </pic:pic>
              </a:graphicData>
            </a:graphic>
          </wp:inline>
        </w:drawing>
      </w:r>
      <w:r>
        <w:br w:type="page"/>
      </w:r>
    </w:p>
    <w:p w14:paraId="62296606" w14:textId="405414FC" w:rsidR="00F4714E" w:rsidRDefault="00F4714E" w:rsidP="00F4714E">
      <w:pPr>
        <w:pStyle w:val="Heading1"/>
      </w:pPr>
      <w:bookmarkStart w:id="137" w:name="_Toc84321256"/>
      <w:r>
        <w:lastRenderedPageBreak/>
        <w:t xml:space="preserve">Appendix </w:t>
      </w:r>
      <w:r w:rsidR="00641412">
        <w:t>F</w:t>
      </w:r>
      <w:r>
        <w:t xml:space="preserve"> – Code of Best Practice for Employees in Respect of Confidentiality</w:t>
      </w:r>
      <w:bookmarkEnd w:id="137"/>
    </w:p>
    <w:p w14:paraId="693BD1D6" w14:textId="77777777" w:rsidR="00F4714E" w:rsidRPr="00F4714E" w:rsidRDefault="00F4714E" w:rsidP="00F4714E">
      <w:pPr>
        <w:spacing w:after="120"/>
        <w:rPr>
          <w:b/>
        </w:rPr>
      </w:pPr>
      <w:r w:rsidRPr="00F4714E">
        <w:rPr>
          <w:b/>
        </w:rPr>
        <w:t xml:space="preserve">Introduction </w:t>
      </w:r>
    </w:p>
    <w:p w14:paraId="36EE00E5" w14:textId="77777777" w:rsidR="00F4714E" w:rsidRDefault="00F4714E" w:rsidP="00F4714E">
      <w:r>
        <w:t xml:space="preserve">People working within the National Health Service (NHS) are bound by a legal duty of confidentiality to protect personal information that they may </w:t>
      </w:r>
      <w:proofErr w:type="gramStart"/>
      <w:r>
        <w:t>come into contact with</w:t>
      </w:r>
      <w:proofErr w:type="gramEnd"/>
      <w:r>
        <w:t xml:space="preserve"> during the course of their work.  In addition, healthcare and other professionals have standards of confidentiality within their own professions’ Code of Conduct.  </w:t>
      </w:r>
    </w:p>
    <w:p w14:paraId="63A51839" w14:textId="77777777" w:rsidR="00F4714E" w:rsidRDefault="00F4714E" w:rsidP="00F4714E"/>
    <w:p w14:paraId="4F9F240A" w14:textId="77777777" w:rsidR="00F4714E" w:rsidRDefault="00F4714E" w:rsidP="00F4714E">
      <w:r>
        <w:t>All employees are responsible for maintaining the confidentiality of information gained during their period of work for Great Western Hospitals NHS Foundation Trust (the Trust), and that responsibility continues after employees cease working for the Trust.</w:t>
      </w:r>
    </w:p>
    <w:p w14:paraId="27366B9A" w14:textId="77777777" w:rsidR="00F4714E" w:rsidRDefault="00F4714E" w:rsidP="00F4714E"/>
    <w:p w14:paraId="6DCAAFDC" w14:textId="77777777" w:rsidR="00F4714E" w:rsidRDefault="00F4714E" w:rsidP="00F4714E">
      <w:pPr>
        <w:ind w:left="720"/>
      </w:pPr>
      <w:r w:rsidRPr="00F4714E">
        <w:rPr>
          <w:b/>
        </w:rPr>
        <w:t>Confidential information</w:t>
      </w:r>
      <w:r>
        <w:t xml:space="preserve"> - is defined as any information that would be expected to be used in confidence. Generally, it is split into person-identifiable data (PID) which is anything that contains the means to identify a person, </w:t>
      </w:r>
      <w:proofErr w:type="gramStart"/>
      <w:r>
        <w:t>e.g.</w:t>
      </w:r>
      <w:proofErr w:type="gramEnd"/>
      <w:r>
        <w:t xml:space="preserve"> name, date of birth, address, postcode, NHS number, and special categories of data, such as physical or mental health/condition, race, ethnic origin, religion, sex life or sexual orientation.</w:t>
      </w:r>
    </w:p>
    <w:p w14:paraId="13C97E9D" w14:textId="77777777" w:rsidR="00F4714E" w:rsidRDefault="00F4714E" w:rsidP="00F4714E"/>
    <w:p w14:paraId="340B11E5" w14:textId="77777777" w:rsidR="00F4714E" w:rsidRDefault="00F4714E" w:rsidP="00F4714E">
      <w:pPr>
        <w:spacing w:after="120"/>
        <w:rPr>
          <w:b/>
        </w:rPr>
      </w:pPr>
      <w:r w:rsidRPr="00F4714E">
        <w:rPr>
          <w:b/>
        </w:rPr>
        <w:t xml:space="preserve">Ensuring </w:t>
      </w:r>
      <w:r>
        <w:rPr>
          <w:b/>
        </w:rPr>
        <w:t>Data Subject</w:t>
      </w:r>
      <w:r w:rsidRPr="00F4714E">
        <w:rPr>
          <w:b/>
        </w:rPr>
        <w:t>s are Aware of what Happens to their Information</w:t>
      </w:r>
    </w:p>
    <w:p w14:paraId="27BA5543" w14:textId="77777777" w:rsidR="00F4714E" w:rsidRPr="00F4714E" w:rsidRDefault="00F4714E" w:rsidP="00F4714E">
      <w:pPr>
        <w:spacing w:after="120"/>
      </w:pPr>
      <w:r>
        <w:t xml:space="preserve">Most of the personal information that the Trust holds and manages is related to either patients or employees.  Employees who come into contact with patients and other employees, </w:t>
      </w:r>
      <w:proofErr w:type="gramStart"/>
      <w:r>
        <w:t>e.g.</w:t>
      </w:r>
      <w:proofErr w:type="gramEnd"/>
      <w:r>
        <w:t xml:space="preserve"> those in Human Resources, Payroll etc.</w:t>
      </w:r>
      <w:r w:rsidR="00EE48C1">
        <w:t>,</w:t>
      </w:r>
      <w:r>
        <w:t xml:space="preserve"> must be able to direct them to relevant guidance about what happens to their information. This can be by:</w:t>
      </w:r>
    </w:p>
    <w:p w14:paraId="3265A15D" w14:textId="77777777" w:rsidR="00F4714E" w:rsidRDefault="00F4714E" w:rsidP="00F4714E">
      <w:pPr>
        <w:pStyle w:val="ListParagraph"/>
        <w:numPr>
          <w:ilvl w:val="0"/>
          <w:numId w:val="29"/>
        </w:numPr>
        <w:spacing w:before="120" w:after="120"/>
        <w:ind w:left="568" w:hanging="284"/>
      </w:pPr>
      <w:r>
        <w:t>Ensuring that privacy notices, information leaflets etc.</w:t>
      </w:r>
      <w:r w:rsidR="00EE48C1">
        <w:t>,</w:t>
      </w:r>
      <w:r>
        <w:t xml:space="preserve"> have been given to, read and understood by the data </w:t>
      </w:r>
      <w:proofErr w:type="gramStart"/>
      <w:r>
        <w:t>subject;</w:t>
      </w:r>
      <w:proofErr w:type="gramEnd"/>
    </w:p>
    <w:p w14:paraId="7FEC4532" w14:textId="77777777" w:rsidR="00F4714E" w:rsidRDefault="00F4714E" w:rsidP="00F4714E">
      <w:pPr>
        <w:pStyle w:val="ListParagraph"/>
        <w:numPr>
          <w:ilvl w:val="0"/>
          <w:numId w:val="29"/>
        </w:numPr>
        <w:spacing w:before="120" w:after="120"/>
        <w:ind w:left="568" w:hanging="284"/>
      </w:pPr>
      <w:r>
        <w:t>Providing advice about when information is to be recorded or when records are being accessed or disclosed, including who is to record/access information, and to whom they will be disclosing information. The Trust’s privacy notices for patients and staff are available via the internet and the intranet.</w:t>
      </w:r>
    </w:p>
    <w:p w14:paraId="26279C42" w14:textId="77777777" w:rsidR="00F4714E" w:rsidRDefault="00F4714E" w:rsidP="00F4714E">
      <w:pPr>
        <w:pStyle w:val="ListParagraph"/>
        <w:numPr>
          <w:ilvl w:val="0"/>
          <w:numId w:val="29"/>
        </w:numPr>
        <w:spacing w:before="120" w:after="120"/>
        <w:ind w:left="568" w:hanging="284"/>
      </w:pPr>
      <w:r>
        <w:t xml:space="preserve">Ensuring that data subjects are aware of choices about how their information may be disclosed, ensuring that they have no concerns or </w:t>
      </w:r>
      <w:proofErr w:type="gramStart"/>
      <w:r>
        <w:t>queries;</w:t>
      </w:r>
      <w:proofErr w:type="gramEnd"/>
    </w:p>
    <w:p w14:paraId="58A244A6" w14:textId="77777777" w:rsidR="00F4714E" w:rsidRDefault="00F4714E" w:rsidP="00F4714E">
      <w:pPr>
        <w:pStyle w:val="ListParagraph"/>
        <w:numPr>
          <w:ilvl w:val="0"/>
          <w:numId w:val="29"/>
        </w:numPr>
        <w:spacing w:before="120" w:after="120"/>
        <w:ind w:left="568" w:hanging="284"/>
      </w:pPr>
      <w:r>
        <w:t xml:space="preserve">Recording the preferences for sharing information such as with friends or family or if applicable, who the patient’s representative </w:t>
      </w:r>
      <w:proofErr w:type="gramStart"/>
      <w:r>
        <w:t>is;</w:t>
      </w:r>
      <w:proofErr w:type="gramEnd"/>
    </w:p>
    <w:p w14:paraId="643088BE" w14:textId="77777777" w:rsidR="00F4714E" w:rsidRDefault="00F4714E" w:rsidP="00F4714E">
      <w:pPr>
        <w:pStyle w:val="ListParagraph"/>
        <w:numPr>
          <w:ilvl w:val="0"/>
          <w:numId w:val="29"/>
        </w:numPr>
        <w:spacing w:before="120" w:after="120"/>
        <w:ind w:left="568" w:hanging="284"/>
      </w:pPr>
      <w:r>
        <w:t xml:space="preserve">Answering queries or, where necessary, directing the person to others who can assist.  More detailed or technical questions regarding the Trust’s use of information, may be referred to the Information Governance team on 01793 </w:t>
      </w:r>
      <w:proofErr w:type="gramStart"/>
      <w:r>
        <w:t>60(5675);</w:t>
      </w:r>
      <w:proofErr w:type="gramEnd"/>
    </w:p>
    <w:p w14:paraId="34FAC534" w14:textId="77777777" w:rsidR="00F4714E" w:rsidRDefault="00F4714E" w:rsidP="00F4714E">
      <w:pPr>
        <w:pStyle w:val="ListParagraph"/>
        <w:numPr>
          <w:ilvl w:val="0"/>
          <w:numId w:val="29"/>
        </w:numPr>
        <w:spacing w:before="120" w:after="120"/>
        <w:ind w:left="568" w:hanging="284"/>
      </w:pPr>
      <w:r>
        <w:t xml:space="preserve">Respecting the data subject’s rights, including the right to have access to their records and the right to object to </w:t>
      </w:r>
      <w:proofErr w:type="gramStart"/>
      <w:r>
        <w:t>processing;</w:t>
      </w:r>
      <w:proofErr w:type="gramEnd"/>
    </w:p>
    <w:p w14:paraId="136C301D" w14:textId="77777777" w:rsidR="00F4714E" w:rsidRDefault="00F4714E" w:rsidP="00F4714E">
      <w:pPr>
        <w:pStyle w:val="ListParagraph"/>
        <w:numPr>
          <w:ilvl w:val="0"/>
          <w:numId w:val="29"/>
        </w:numPr>
        <w:spacing w:before="120" w:after="120"/>
        <w:ind w:left="568" w:hanging="284"/>
      </w:pPr>
      <w:r>
        <w:t xml:space="preserve">Asking before using personal information in ways that do not directly contribute to or support the delivery of their care, or as part of their employment contract with the </w:t>
      </w:r>
      <w:proofErr w:type="gramStart"/>
      <w:r>
        <w:t>Trust;</w:t>
      </w:r>
      <w:proofErr w:type="gramEnd"/>
    </w:p>
    <w:p w14:paraId="387E824E" w14:textId="77777777" w:rsidR="00F4714E" w:rsidRDefault="00F4714E" w:rsidP="00F4714E">
      <w:pPr>
        <w:pStyle w:val="ListParagraph"/>
        <w:numPr>
          <w:ilvl w:val="0"/>
          <w:numId w:val="29"/>
        </w:numPr>
        <w:spacing w:before="120" w:after="120"/>
        <w:ind w:left="568" w:hanging="284"/>
      </w:pPr>
      <w:r>
        <w:t xml:space="preserve">Respecting the data </w:t>
      </w:r>
      <w:proofErr w:type="gramStart"/>
      <w:r>
        <w:t>subject’s</w:t>
      </w:r>
      <w:proofErr w:type="gramEnd"/>
      <w:r>
        <w:t xml:space="preserve"> to restrict the disclosure or use of information, except where exceptional circumstances apply; and</w:t>
      </w:r>
    </w:p>
    <w:p w14:paraId="6859C5E5" w14:textId="77777777" w:rsidR="00F4714E" w:rsidRDefault="00F4714E" w:rsidP="00F4714E">
      <w:pPr>
        <w:pStyle w:val="ListParagraph"/>
        <w:numPr>
          <w:ilvl w:val="0"/>
          <w:numId w:val="29"/>
        </w:numPr>
        <w:spacing w:before="120" w:after="120"/>
        <w:ind w:left="568" w:hanging="284"/>
      </w:pPr>
      <w:r>
        <w:t>Treating children equally with the same rights as adults if they can understand the consequences and risks of any decision made.</w:t>
      </w:r>
    </w:p>
    <w:p w14:paraId="5709E10B" w14:textId="0EB57055" w:rsidR="00F4714E" w:rsidRDefault="00F4714E" w:rsidP="00F4714E">
      <w:r>
        <w:t>Leaflets to assist patients and employees are available from the Information Governance team on 01793 60(5675).  Information about confidentiality is included in the standard induction and refresher training for all employees.</w:t>
      </w:r>
    </w:p>
    <w:p w14:paraId="310B50B1" w14:textId="77777777" w:rsidR="00F4714E" w:rsidRDefault="00F4714E" w:rsidP="00F4714E">
      <w:r>
        <w:lastRenderedPageBreak/>
        <w:t> </w:t>
      </w:r>
    </w:p>
    <w:p w14:paraId="1A236D25" w14:textId="77777777" w:rsidR="00F4714E" w:rsidRPr="00B575D1" w:rsidRDefault="00F4714E" w:rsidP="00B575D1">
      <w:pPr>
        <w:spacing w:after="120"/>
        <w:rPr>
          <w:b/>
        </w:rPr>
      </w:pPr>
      <w:r w:rsidRPr="00B575D1">
        <w:rPr>
          <w:b/>
        </w:rPr>
        <w:t>Records Management</w:t>
      </w:r>
      <w:r w:rsidR="00B575D1">
        <w:rPr>
          <w:b/>
        </w:rPr>
        <w:t xml:space="preserve"> / Data Quality</w:t>
      </w:r>
    </w:p>
    <w:p w14:paraId="5C1EEBEC" w14:textId="77777777" w:rsidR="00B575D1" w:rsidRDefault="00B575D1" w:rsidP="00B575D1">
      <w:r>
        <w:t xml:space="preserve">The Trust complies with the 12 generic record keeping standards approved by the Academy of Medical Royal Colleges. These are listed in the Trust’s Clinical Record Keeping Policy. </w:t>
      </w:r>
    </w:p>
    <w:p w14:paraId="294DA184" w14:textId="77777777" w:rsidR="00B575D1" w:rsidRDefault="00B575D1" w:rsidP="00B575D1"/>
    <w:p w14:paraId="223A0432" w14:textId="77777777" w:rsidR="00F4714E" w:rsidRDefault="00B575D1" w:rsidP="00B575D1">
      <w:r>
        <w:t xml:space="preserve">Retention periods for all types of records are listed in the Records Management Code of Practice for Health &amp; Social Care </w:t>
      </w:r>
      <w:r w:rsidRPr="00542EFF">
        <w:t xml:space="preserve">2016 (Ref </w:t>
      </w:r>
      <w:r w:rsidR="00542EFF" w:rsidRPr="00542EFF">
        <w:t>28</w:t>
      </w:r>
      <w:r w:rsidRPr="00542EFF">
        <w:t>).</w:t>
      </w:r>
      <w:r>
        <w:t xml:space="preserve"> This list is also available on the Trust intranet. Further information about records retention and disposal may be found in the Trust’s Retention of Records </w:t>
      </w:r>
      <w:r w:rsidRPr="00542EFF">
        <w:t>Policy</w:t>
      </w:r>
      <w:r w:rsidR="004D11F7" w:rsidRPr="00542EFF">
        <w:t xml:space="preserve"> </w:t>
      </w:r>
      <w:r w:rsidR="00E07413">
        <w:t>(Ref 13</w:t>
      </w:r>
      <w:r w:rsidR="004D11F7" w:rsidRPr="00542EFF">
        <w:t>)</w:t>
      </w:r>
      <w:r w:rsidRPr="00542EFF">
        <w:t>.</w:t>
      </w:r>
    </w:p>
    <w:p w14:paraId="26BFB155" w14:textId="77777777" w:rsidR="00B575D1" w:rsidRDefault="00B575D1" w:rsidP="00B575D1"/>
    <w:p w14:paraId="2302C214" w14:textId="77777777" w:rsidR="00B575D1" w:rsidRDefault="00B575D1" w:rsidP="00B575D1">
      <w:r>
        <w:t>All employees are personally responsible for the quality of data entered by themselves, or on their behalf, on the Trust’s computerised systems. Whether held on paper or electronically, employees have a responsibility to ensure that the data is accurate, timely, and as complete as possible.</w:t>
      </w:r>
    </w:p>
    <w:p w14:paraId="3BDC3595" w14:textId="77777777" w:rsidR="00B575D1" w:rsidRDefault="00B575D1" w:rsidP="00B575D1"/>
    <w:p w14:paraId="0A007770" w14:textId="77777777" w:rsidR="00B575D1" w:rsidRDefault="00B575D1" w:rsidP="00B575D1">
      <w:r>
        <w:t xml:space="preserve">This responsibility is clarified in the employee’s job description and by their professional body such as the General Medical Council (GMC), Nursing and Midwifery Council (NMC), Health and Care Professions Council etc. </w:t>
      </w:r>
      <w:r w:rsidR="00EE48C1">
        <w:t>(</w:t>
      </w:r>
      <w:r>
        <w:t xml:space="preserve">and monitored via ongoing supervision/appraisal).  It is essential that any alterations or updated information is amended as soon as possible in records and on Patient Information Systems to provide up-to-date information to support the delivery of care and to meet statutory requirements, </w:t>
      </w:r>
      <w:proofErr w:type="gramStart"/>
      <w:r>
        <w:t>e.g.</w:t>
      </w:r>
      <w:proofErr w:type="gramEnd"/>
      <w:r>
        <w:t xml:space="preserve"> Information Governance data-quality standards. Please refer to the Trust’s Data Quality Policy</w:t>
      </w:r>
      <w:r w:rsidR="004D31AB">
        <w:t xml:space="preserve"> (Ref 29</w:t>
      </w:r>
      <w:r w:rsidR="004D11F7">
        <w:t>)</w:t>
      </w:r>
      <w:r>
        <w:t xml:space="preserve"> for further information.</w:t>
      </w:r>
    </w:p>
    <w:p w14:paraId="4EF2C327" w14:textId="77777777" w:rsidR="00F4714E" w:rsidRDefault="00F4714E" w:rsidP="00F4714E"/>
    <w:p w14:paraId="5235833D" w14:textId="77777777" w:rsidR="00F4714E" w:rsidRPr="00B575D1" w:rsidRDefault="00F4714E" w:rsidP="00B575D1">
      <w:pPr>
        <w:spacing w:after="120"/>
        <w:rPr>
          <w:b/>
        </w:rPr>
      </w:pPr>
      <w:r w:rsidRPr="00B575D1">
        <w:rPr>
          <w:b/>
        </w:rPr>
        <w:t>Storage / Access to Information</w:t>
      </w:r>
    </w:p>
    <w:p w14:paraId="69F88D5B" w14:textId="77777777" w:rsidR="00F4714E" w:rsidRPr="00B575D1" w:rsidRDefault="00F4714E" w:rsidP="00B575D1">
      <w:pPr>
        <w:spacing w:after="120"/>
        <w:rPr>
          <w:b/>
        </w:rPr>
      </w:pPr>
      <w:r w:rsidRPr="00B575D1">
        <w:rPr>
          <w:b/>
        </w:rPr>
        <w:t>General</w:t>
      </w:r>
    </w:p>
    <w:p w14:paraId="7F53BFDC" w14:textId="77777777" w:rsidR="00B575D1" w:rsidRDefault="00F4714E" w:rsidP="00F4714E">
      <w:r>
        <w:t>Employees are strictly forbidden to access confidential information held by the Trust about themselves</w:t>
      </w:r>
      <w:r w:rsidR="00B575D1">
        <w:t>, so if</w:t>
      </w:r>
      <w:r>
        <w:t xml:space="preserve"> an employee requires access to their personal information, this should be done using their rights under the Data Protection Act 2018</w:t>
      </w:r>
      <w:r w:rsidR="004D11F7">
        <w:t>. R</w:t>
      </w:r>
      <w:r>
        <w:t xml:space="preserve">efer to the </w:t>
      </w:r>
      <w:r w:rsidR="004D11F7">
        <w:t xml:space="preserve">Trust’s </w:t>
      </w:r>
      <w:r>
        <w:t xml:space="preserve">Data Protection </w:t>
      </w:r>
      <w:r w:rsidRPr="00542EFF">
        <w:t>Policy</w:t>
      </w:r>
      <w:r w:rsidR="004D11F7" w:rsidRPr="00542EFF">
        <w:t xml:space="preserve"> (Ref </w:t>
      </w:r>
      <w:r w:rsidR="00542EFF" w:rsidRPr="00542EFF">
        <w:t>7</w:t>
      </w:r>
      <w:r w:rsidR="004D11F7" w:rsidRPr="00542EFF">
        <w:t>) for</w:t>
      </w:r>
      <w:r w:rsidR="004D11F7">
        <w:t xml:space="preserve"> further information.</w:t>
      </w:r>
    </w:p>
    <w:p w14:paraId="4AF45907" w14:textId="77777777" w:rsidR="00B575D1" w:rsidRDefault="00B575D1" w:rsidP="00F4714E"/>
    <w:p w14:paraId="1B082FFF" w14:textId="7D94B6EA" w:rsidR="00F4714E" w:rsidRDefault="00F4714E" w:rsidP="00F4714E">
      <w:r>
        <w:t xml:space="preserve">Employees are strictly forbidden to access personal </w:t>
      </w:r>
      <w:r w:rsidR="008326A9">
        <w:t xml:space="preserve">or special category </w:t>
      </w:r>
      <w:r>
        <w:t>information relating to colleagues, family, friends or acquaintances, or any</w:t>
      </w:r>
      <w:r w:rsidR="00B575D1">
        <w:t xml:space="preserve"> other person</w:t>
      </w:r>
      <w:r>
        <w:t>,</w:t>
      </w:r>
      <w:r w:rsidR="008326A9">
        <w:t xml:space="preserve"> including patients,</w:t>
      </w:r>
      <w:r>
        <w:t xml:space="preserve"> unless they are directly involved in that patient’s care</w:t>
      </w:r>
      <w:r w:rsidR="00B575D1">
        <w:t>, or work in an administrative role such as Human Resources or Payroll</w:t>
      </w:r>
      <w:r w:rsidR="008326A9">
        <w:t xml:space="preserve"> and have a legitimate work-related need to access the information</w:t>
      </w:r>
      <w:r>
        <w:t xml:space="preserve">.  </w:t>
      </w:r>
      <w:r w:rsidR="00B575D1">
        <w:t>I</w:t>
      </w:r>
      <w:r>
        <w:t>f an employee becomes aware that they are involved in the care of a patient who is known to them, the employee should notify the line manager or the consultant/doctor in charge that there may be a conflict of interest.</w:t>
      </w:r>
    </w:p>
    <w:p w14:paraId="242603EF" w14:textId="77777777" w:rsidR="00B575D1" w:rsidRDefault="00B575D1" w:rsidP="00F4714E"/>
    <w:p w14:paraId="6171A770" w14:textId="77777777" w:rsidR="00B575D1" w:rsidRDefault="00F4714E" w:rsidP="00F4714E">
      <w:r>
        <w:t>Employees are authorised to access their own employment details contained within the self-service portal of ESR</w:t>
      </w:r>
      <w:r w:rsidR="00B575D1">
        <w:t>.</w:t>
      </w:r>
    </w:p>
    <w:p w14:paraId="603155B1" w14:textId="77777777" w:rsidR="00F4714E" w:rsidRDefault="00B575D1" w:rsidP="00F4714E">
      <w:r>
        <w:t xml:space="preserve">  </w:t>
      </w:r>
    </w:p>
    <w:p w14:paraId="5FB1579E" w14:textId="77777777" w:rsidR="00F4714E" w:rsidRDefault="00F4714E" w:rsidP="00F4714E">
      <w:r>
        <w:t>If an employee’s conduct includes any of the actions described</w:t>
      </w:r>
      <w:r w:rsidR="00B575D1">
        <w:t xml:space="preserve"> above</w:t>
      </w:r>
      <w:r w:rsidR="006D5790">
        <w:t xml:space="preserve"> or contravenes any guidance found in the healthcare regulators codes of conduct</w:t>
      </w:r>
      <w:r>
        <w:t xml:space="preserve">, </w:t>
      </w:r>
      <w:r w:rsidR="006D5790">
        <w:t xml:space="preserve">for example the GMC Code of Confidentiality, </w:t>
      </w:r>
      <w:r>
        <w:t xml:space="preserve">this will be a breach of confidentiality and may result in disciplinary action. </w:t>
      </w:r>
    </w:p>
    <w:p w14:paraId="317B2CF4" w14:textId="77777777" w:rsidR="00F4714E" w:rsidRDefault="00F4714E" w:rsidP="00F4714E"/>
    <w:p w14:paraId="5D785D56" w14:textId="77777777" w:rsidR="00F4714E" w:rsidRPr="00B575D1" w:rsidRDefault="00B575D1" w:rsidP="00B575D1">
      <w:pPr>
        <w:spacing w:after="120"/>
        <w:rPr>
          <w:b/>
        </w:rPr>
      </w:pPr>
      <w:r>
        <w:rPr>
          <w:b/>
        </w:rPr>
        <w:t xml:space="preserve">Access to </w:t>
      </w:r>
      <w:r w:rsidR="00F4714E" w:rsidRPr="00B575D1">
        <w:rPr>
          <w:b/>
        </w:rPr>
        <w:t>Electronic Systems</w:t>
      </w:r>
    </w:p>
    <w:p w14:paraId="6DA19E21" w14:textId="77777777" w:rsidR="00B575D1" w:rsidRDefault="00B575D1" w:rsidP="00F4714E">
      <w:r>
        <w:t>Employees are given access to electronic systems which are relevant to their role within the Trust. Access is granted with the understanding that:</w:t>
      </w:r>
    </w:p>
    <w:p w14:paraId="6C3C5BC9" w14:textId="77777777" w:rsidR="00F4714E" w:rsidRDefault="00B575D1" w:rsidP="00B575D1">
      <w:pPr>
        <w:pStyle w:val="ListParagraph"/>
        <w:numPr>
          <w:ilvl w:val="0"/>
          <w:numId w:val="29"/>
        </w:numPr>
        <w:spacing w:before="120" w:after="120"/>
        <w:ind w:left="568" w:hanging="284"/>
      </w:pPr>
      <w:r>
        <w:t>They will</w:t>
      </w:r>
      <w:r w:rsidR="00F4714E">
        <w:t xml:space="preserve"> act in accordance with their employment contract with regards to accessing </w:t>
      </w:r>
      <w:proofErr w:type="gramStart"/>
      <w:r w:rsidR="00F4714E">
        <w:t>information</w:t>
      </w:r>
      <w:r>
        <w:t>;</w:t>
      </w:r>
      <w:proofErr w:type="gramEnd"/>
      <w:r>
        <w:t xml:space="preserve"> </w:t>
      </w:r>
    </w:p>
    <w:p w14:paraId="629A1B57" w14:textId="77777777" w:rsidR="00F4714E" w:rsidRDefault="00F4714E" w:rsidP="00B575D1">
      <w:pPr>
        <w:pStyle w:val="ListParagraph"/>
        <w:numPr>
          <w:ilvl w:val="0"/>
          <w:numId w:val="29"/>
        </w:numPr>
        <w:spacing w:before="120" w:after="120"/>
        <w:ind w:left="568" w:hanging="284"/>
      </w:pPr>
      <w:r>
        <w:t xml:space="preserve">Any system specific terms and conditions of use </w:t>
      </w:r>
      <w:r w:rsidR="00B575D1">
        <w:t>will</w:t>
      </w:r>
      <w:r>
        <w:t xml:space="preserve"> be </w:t>
      </w:r>
      <w:proofErr w:type="gramStart"/>
      <w:r>
        <w:t>followed</w:t>
      </w:r>
      <w:r w:rsidR="00B575D1">
        <w:t>;</w:t>
      </w:r>
      <w:proofErr w:type="gramEnd"/>
    </w:p>
    <w:p w14:paraId="4D17B30B" w14:textId="77777777" w:rsidR="00F4714E" w:rsidRDefault="00B575D1" w:rsidP="00B575D1">
      <w:pPr>
        <w:pStyle w:val="ListParagraph"/>
        <w:numPr>
          <w:ilvl w:val="0"/>
          <w:numId w:val="29"/>
        </w:numPr>
        <w:spacing w:before="120" w:after="120"/>
        <w:ind w:left="568" w:hanging="284"/>
      </w:pPr>
      <w:r>
        <w:lastRenderedPageBreak/>
        <w:t>They are aware that a</w:t>
      </w:r>
      <w:r w:rsidR="00F4714E">
        <w:t xml:space="preserve"> user’s computer </w:t>
      </w:r>
      <w:proofErr w:type="gramStart"/>
      <w:r w:rsidR="00F4714E">
        <w:t>use</w:t>
      </w:r>
      <w:proofErr w:type="gramEnd"/>
      <w:r w:rsidR="00F4714E">
        <w:t xml:space="preserve"> and conduct </w:t>
      </w:r>
      <w:r>
        <w:t xml:space="preserve">can be monitored and that </w:t>
      </w:r>
      <w:r w:rsidR="00F4714E">
        <w:t>audit trails</w:t>
      </w:r>
      <w:r>
        <w:t xml:space="preserve"> can be produced from Trust</w:t>
      </w:r>
      <w:r w:rsidR="00F4714E">
        <w:t xml:space="preserve"> systems</w:t>
      </w:r>
      <w:r>
        <w:t>. They are aware that</w:t>
      </w:r>
      <w:r w:rsidRPr="00B575D1">
        <w:t xml:space="preserve"> </w:t>
      </w:r>
      <w:r>
        <w:t>electronic systems will have role/</w:t>
      </w:r>
      <w:proofErr w:type="gramStart"/>
      <w:r>
        <w:t>position based</w:t>
      </w:r>
      <w:proofErr w:type="gramEnd"/>
      <w:r>
        <w:t xml:space="preserve"> access control (RBAC/PBAC);</w:t>
      </w:r>
    </w:p>
    <w:p w14:paraId="213C900E" w14:textId="77777777" w:rsidR="00F4714E" w:rsidRDefault="00B575D1" w:rsidP="00B575D1">
      <w:pPr>
        <w:pStyle w:val="ListParagraph"/>
        <w:numPr>
          <w:ilvl w:val="0"/>
          <w:numId w:val="29"/>
        </w:numPr>
        <w:spacing w:before="120" w:after="120"/>
        <w:ind w:left="568" w:hanging="284"/>
      </w:pPr>
      <w:r>
        <w:t>They will</w:t>
      </w:r>
      <w:r w:rsidR="00F4714E">
        <w:t xml:space="preserve"> notify the </w:t>
      </w:r>
      <w:r>
        <w:t xml:space="preserve">relevant </w:t>
      </w:r>
      <w:r w:rsidR="00F4714E">
        <w:t>system administrator if their role change</w:t>
      </w:r>
      <w:r>
        <w:t>s</w:t>
      </w:r>
      <w:r w:rsidR="00F4714E">
        <w:t xml:space="preserve"> and they no lo</w:t>
      </w:r>
      <w:r>
        <w:t xml:space="preserve">nger require access to a </w:t>
      </w:r>
      <w:proofErr w:type="gramStart"/>
      <w:r>
        <w:t>system;</w:t>
      </w:r>
      <w:proofErr w:type="gramEnd"/>
      <w:r w:rsidR="00F4714E">
        <w:t xml:space="preserve"> </w:t>
      </w:r>
    </w:p>
    <w:p w14:paraId="2B6F2182" w14:textId="77777777" w:rsidR="00F4714E" w:rsidRDefault="00F4714E" w:rsidP="00B575D1">
      <w:pPr>
        <w:pStyle w:val="ListParagraph"/>
        <w:numPr>
          <w:ilvl w:val="0"/>
          <w:numId w:val="29"/>
        </w:numPr>
        <w:spacing w:before="120" w:after="120"/>
        <w:ind w:left="568" w:hanging="284"/>
      </w:pPr>
      <w:r>
        <w:t>For externally hosted systems, sensitive or special category information must n</w:t>
      </w:r>
      <w:r w:rsidR="00B575D1">
        <w:t>ot</w:t>
      </w:r>
      <w:r>
        <w:t xml:space="preserve"> be stored on the system unless a </w:t>
      </w:r>
      <w:r w:rsidR="00B575D1">
        <w:t>Data Protection Impact Assessment (</w:t>
      </w:r>
      <w:r>
        <w:t>DPIA</w:t>
      </w:r>
      <w:r w:rsidR="00B575D1">
        <w:t xml:space="preserve">) has been </w:t>
      </w:r>
      <w:proofErr w:type="gramStart"/>
      <w:r w:rsidR="00B575D1">
        <w:t>completed;</w:t>
      </w:r>
      <w:proofErr w:type="gramEnd"/>
    </w:p>
    <w:p w14:paraId="61654972" w14:textId="77777777" w:rsidR="00F4714E" w:rsidRDefault="00B575D1" w:rsidP="00B575D1">
      <w:pPr>
        <w:pStyle w:val="ListParagraph"/>
        <w:numPr>
          <w:ilvl w:val="0"/>
          <w:numId w:val="29"/>
        </w:numPr>
        <w:spacing w:before="120" w:after="120"/>
        <w:ind w:left="568" w:hanging="284"/>
      </w:pPr>
      <w:r>
        <w:t>C</w:t>
      </w:r>
      <w:r w:rsidR="00F4714E">
        <w:t>onfidential information</w:t>
      </w:r>
      <w:r>
        <w:t xml:space="preserve"> stored in electronic format</w:t>
      </w:r>
      <w:r w:rsidR="00F4714E">
        <w:t xml:space="preserve"> must not be stored unencrypted on the local hard drives of Personal Computers (PCs) or on removable </w:t>
      </w:r>
      <w:proofErr w:type="gramStart"/>
      <w:r w:rsidR="00F4714E">
        <w:t>media</w:t>
      </w:r>
      <w:r>
        <w:t>;</w:t>
      </w:r>
      <w:proofErr w:type="gramEnd"/>
    </w:p>
    <w:p w14:paraId="05BF96B9" w14:textId="77777777" w:rsidR="00EE48C1" w:rsidRDefault="00F4714E" w:rsidP="00B575D1">
      <w:pPr>
        <w:pStyle w:val="ListParagraph"/>
        <w:numPr>
          <w:ilvl w:val="0"/>
          <w:numId w:val="29"/>
        </w:numPr>
        <w:spacing w:before="120" w:after="120"/>
        <w:ind w:left="568" w:hanging="284"/>
      </w:pPr>
      <w:r>
        <w:t xml:space="preserve">Information </w:t>
      </w:r>
      <w:r w:rsidR="00B575D1">
        <w:t>must</w:t>
      </w:r>
      <w:r>
        <w:t xml:space="preserve"> be saved on the appropriate systems or network drives provided by the Trust </w:t>
      </w:r>
      <w:proofErr w:type="gramStart"/>
      <w:r>
        <w:t>e.g.</w:t>
      </w:r>
      <w:proofErr w:type="gramEnd"/>
      <w:r>
        <w:t xml:space="preserve"> T: drive</w:t>
      </w:r>
      <w:r w:rsidR="00B575D1">
        <w:t xml:space="preserve">; </w:t>
      </w:r>
    </w:p>
    <w:p w14:paraId="2205F7CC" w14:textId="77777777" w:rsidR="00F4714E" w:rsidRDefault="00F4714E" w:rsidP="00B575D1">
      <w:pPr>
        <w:pStyle w:val="ListParagraph"/>
        <w:numPr>
          <w:ilvl w:val="0"/>
          <w:numId w:val="29"/>
        </w:numPr>
        <w:spacing w:before="120" w:after="120"/>
        <w:ind w:left="568" w:hanging="284"/>
      </w:pPr>
      <w:r>
        <w:t>Confidential information can be held on removable media for the purposes of authorised data transfer.  Memory sticks, CDs/DVDs, dictation tapes and other media must be encrypted and kept in locked storage when not in use.</w:t>
      </w:r>
    </w:p>
    <w:p w14:paraId="5A00169D" w14:textId="63CA6559" w:rsidR="00F4714E" w:rsidRDefault="00F4714E" w:rsidP="00F4714E"/>
    <w:p w14:paraId="12D4B43F" w14:textId="2DCA96B1" w:rsidR="008326A9" w:rsidRPr="009D3BCD" w:rsidRDefault="008326A9" w:rsidP="008326A9">
      <w:pPr>
        <w:spacing w:before="120" w:after="120"/>
        <w:rPr>
          <w:b/>
        </w:rPr>
      </w:pPr>
      <w:r w:rsidRPr="009D3BCD">
        <w:rPr>
          <w:b/>
        </w:rPr>
        <w:t>A</w:t>
      </w:r>
      <w:r>
        <w:rPr>
          <w:b/>
        </w:rPr>
        <w:t>ccess to Shared Electronic Systems</w:t>
      </w:r>
    </w:p>
    <w:p w14:paraId="55874E23" w14:textId="61A332B6" w:rsidR="00E31FBA" w:rsidRDefault="008326A9" w:rsidP="008326A9">
      <w:r>
        <w:t>The Trust is a joint data controller or processor for shared systems such as the Summary Care Record (SCR) and the Integrated Care System (ICR); this list is not exhaustive. The</w:t>
      </w:r>
      <w:r w:rsidR="00E31FBA">
        <w:t xml:space="preserve">se systems are hosted, or contributed to, by </w:t>
      </w:r>
      <w:r w:rsidR="00B8695D">
        <w:t>numerous</w:t>
      </w:r>
      <w:r w:rsidR="00E31FBA">
        <w:t xml:space="preserve"> health or social care providers such as primary care, other secondary care sites, and the local authorities, and </w:t>
      </w:r>
      <w:r w:rsidR="009011CB">
        <w:t xml:space="preserve">data </w:t>
      </w:r>
      <w:r w:rsidR="00E31FBA">
        <w:t xml:space="preserve">can also be </w:t>
      </w:r>
      <w:r w:rsidR="009011CB">
        <w:t>accessed</w:t>
      </w:r>
      <w:r w:rsidR="00E31FBA">
        <w:t xml:space="preserve"> by the CCG. </w:t>
      </w:r>
      <w:r w:rsidR="009011CB">
        <w:t>When using</w:t>
      </w:r>
      <w:r>
        <w:t xml:space="preserve"> shared systems, </w:t>
      </w:r>
      <w:r w:rsidR="00E31FBA">
        <w:t>all GWH</w:t>
      </w:r>
      <w:r>
        <w:t xml:space="preserve"> staff must adhere to </w:t>
      </w:r>
      <w:r w:rsidR="00E31FBA">
        <w:t xml:space="preserve">the </w:t>
      </w:r>
      <w:r w:rsidR="009011CB">
        <w:t xml:space="preserve">applicable </w:t>
      </w:r>
      <w:r>
        <w:t>GWH policies</w:t>
      </w:r>
      <w:r w:rsidR="00E31FBA">
        <w:t xml:space="preserve">, such as this Information Governance Policy, as well as </w:t>
      </w:r>
      <w:r w:rsidR="009011CB">
        <w:t>any additional</w:t>
      </w:r>
      <w:r w:rsidR="00E31FBA">
        <w:t xml:space="preserve"> licen</w:t>
      </w:r>
      <w:r w:rsidR="009D1E16">
        <w:t>c</w:t>
      </w:r>
      <w:r w:rsidR="00E31FBA">
        <w:t xml:space="preserve">e agreements or terms and conditions of use. </w:t>
      </w:r>
      <w:r w:rsidR="009011CB">
        <w:t>For the avoidance of doubt, t</w:t>
      </w:r>
      <w:r w:rsidR="00E31FBA">
        <w:t xml:space="preserve">his applies to all data held within the system, not just data contributed or used by GWH. </w:t>
      </w:r>
    </w:p>
    <w:p w14:paraId="5F9B1DCC" w14:textId="77777777" w:rsidR="00E31FBA" w:rsidRDefault="00E31FBA" w:rsidP="008326A9"/>
    <w:p w14:paraId="71D29163" w14:textId="356EF2E7" w:rsidR="008326A9" w:rsidRPr="0091104C" w:rsidRDefault="00E31FBA" w:rsidP="008326A9">
      <w:r>
        <w:t>Any misuse of any of these systems or any inappropriate access to any data held within the</w:t>
      </w:r>
      <w:r w:rsidR="009011CB">
        <w:t>se</w:t>
      </w:r>
      <w:r>
        <w:t xml:space="preserve"> systems will result in </w:t>
      </w:r>
      <w:r w:rsidR="008326A9">
        <w:t xml:space="preserve">an investigation and may involve access being taken away and/or disciplinary procedures. </w:t>
      </w:r>
    </w:p>
    <w:p w14:paraId="669EF0C1" w14:textId="7A870BC1" w:rsidR="008326A9" w:rsidRDefault="008326A9" w:rsidP="00F4714E"/>
    <w:p w14:paraId="29DADDAE" w14:textId="77777777" w:rsidR="008326A9" w:rsidRDefault="008326A9" w:rsidP="00F4714E"/>
    <w:p w14:paraId="50706624" w14:textId="1D01D890" w:rsidR="00F4714E" w:rsidRDefault="00B575D1" w:rsidP="00B575D1">
      <w:pPr>
        <w:spacing w:after="120"/>
        <w:rPr>
          <w:b/>
        </w:rPr>
      </w:pPr>
      <w:r>
        <w:rPr>
          <w:b/>
        </w:rPr>
        <w:t xml:space="preserve">Storage and Access to </w:t>
      </w:r>
      <w:r w:rsidR="00F4714E" w:rsidRPr="00B575D1">
        <w:rPr>
          <w:b/>
        </w:rPr>
        <w:t>Physical Records</w:t>
      </w:r>
      <w:r w:rsidR="0090195F">
        <w:rPr>
          <w:b/>
        </w:rPr>
        <w:t>/Locations</w:t>
      </w:r>
    </w:p>
    <w:p w14:paraId="030B5C82" w14:textId="77777777" w:rsidR="00B575D1" w:rsidRPr="00B575D1" w:rsidRDefault="00B575D1" w:rsidP="00B575D1">
      <w:pPr>
        <w:spacing w:after="120"/>
      </w:pPr>
      <w:r>
        <w:t>Physical records, such as paper-based health or personnel records, must be held securely and accessed only by those who have a need to know. The following measures are in place to protect physical records and to ensure their availability:</w:t>
      </w:r>
    </w:p>
    <w:p w14:paraId="65E88A24" w14:textId="11F29092" w:rsidR="00F4714E" w:rsidRDefault="00B575D1" w:rsidP="00B575D1">
      <w:pPr>
        <w:pStyle w:val="ListParagraph"/>
        <w:numPr>
          <w:ilvl w:val="0"/>
          <w:numId w:val="29"/>
        </w:numPr>
        <w:spacing w:before="120" w:after="120"/>
        <w:ind w:left="568" w:hanging="284"/>
      </w:pPr>
      <w:r>
        <w:t>A</w:t>
      </w:r>
      <w:r w:rsidR="00F4714E">
        <w:t xml:space="preserve">ccess </w:t>
      </w:r>
      <w:r>
        <w:t xml:space="preserve">to areas in the hospital which are not accessible to the general public is controlled through the use of Keri </w:t>
      </w:r>
      <w:proofErr w:type="gramStart"/>
      <w:r>
        <w:t>Cards;</w:t>
      </w:r>
      <w:proofErr w:type="gramEnd"/>
    </w:p>
    <w:p w14:paraId="54E114B6" w14:textId="20B7C638" w:rsidR="0090195F" w:rsidRDefault="0090195F" w:rsidP="0090195F">
      <w:pPr>
        <w:pStyle w:val="ListParagraph"/>
        <w:numPr>
          <w:ilvl w:val="1"/>
          <w:numId w:val="29"/>
        </w:numPr>
        <w:spacing w:before="120" w:after="120"/>
      </w:pPr>
      <w:r>
        <w:t>Keri cards must not be given to anybody else to use</w:t>
      </w:r>
      <w:r w:rsidR="000C3285">
        <w:t xml:space="preserve">; this includes both Trust staff (including volunteers, agency, bank staff, contractors, etc.) </w:t>
      </w:r>
      <w:proofErr w:type="gramStart"/>
      <w:r w:rsidR="000C3285">
        <w:t>and also</w:t>
      </w:r>
      <w:proofErr w:type="gramEnd"/>
      <w:r w:rsidR="000C3285">
        <w:t xml:space="preserve"> people who do not work at the Trust such as family and friends</w:t>
      </w:r>
    </w:p>
    <w:p w14:paraId="378638C2" w14:textId="77777777" w:rsidR="0090195F" w:rsidRDefault="0090195F" w:rsidP="0090195F">
      <w:pPr>
        <w:pStyle w:val="ListParagraph"/>
        <w:numPr>
          <w:ilvl w:val="1"/>
          <w:numId w:val="29"/>
        </w:numPr>
        <w:spacing w:before="120" w:after="120"/>
      </w:pPr>
      <w:r>
        <w:t>Keri cards must not be used when staff are off duty to gain access to wards and other areas</w:t>
      </w:r>
    </w:p>
    <w:p w14:paraId="21A0DCF3" w14:textId="453C26DD" w:rsidR="0090195F" w:rsidRDefault="0090195F" w:rsidP="00AF5C26">
      <w:pPr>
        <w:pStyle w:val="ListParagraph"/>
        <w:numPr>
          <w:ilvl w:val="1"/>
          <w:numId w:val="29"/>
        </w:numPr>
        <w:spacing w:before="120" w:after="120"/>
      </w:pPr>
      <w:r>
        <w:t xml:space="preserve">Where appropriate, the wearer </w:t>
      </w:r>
      <w:proofErr w:type="gramStart"/>
      <w:r>
        <w:t>must  announce</w:t>
      </w:r>
      <w:proofErr w:type="gramEnd"/>
      <w:r>
        <w:t xml:space="preserve"> their intention to enter locked wards, etc, via the intercom provided</w:t>
      </w:r>
    </w:p>
    <w:p w14:paraId="2FABC1EE" w14:textId="6B619010" w:rsidR="000C3285" w:rsidRDefault="000C3285" w:rsidP="00AF5C26">
      <w:pPr>
        <w:pStyle w:val="ListParagraph"/>
        <w:numPr>
          <w:ilvl w:val="1"/>
          <w:numId w:val="29"/>
        </w:numPr>
        <w:spacing w:before="120" w:after="120"/>
      </w:pPr>
      <w:r>
        <w:t>The wearer must always have their Keri card in a place which is visible, such as on a breakable lanyard which complies with health and safety regulations or clipped to clothing</w:t>
      </w:r>
    </w:p>
    <w:p w14:paraId="250879A6" w14:textId="77777777" w:rsidR="00F4714E" w:rsidRDefault="00B575D1" w:rsidP="00B575D1">
      <w:pPr>
        <w:pStyle w:val="ListParagraph"/>
        <w:numPr>
          <w:ilvl w:val="0"/>
          <w:numId w:val="29"/>
        </w:numPr>
        <w:spacing w:before="120" w:after="120"/>
        <w:ind w:left="568" w:hanging="284"/>
      </w:pPr>
      <w:r>
        <w:lastRenderedPageBreak/>
        <w:t>P</w:t>
      </w:r>
      <w:r w:rsidR="00F4714E">
        <w:t xml:space="preserve">aper based records </w:t>
      </w:r>
      <w:r>
        <w:t>are subject to</w:t>
      </w:r>
      <w:r w:rsidR="00F4714E">
        <w:t xml:space="preserve"> security procedures</w:t>
      </w:r>
      <w:r>
        <w:t xml:space="preserve"> which include</w:t>
      </w:r>
      <w:r w:rsidR="00F4714E">
        <w:t xml:space="preserve">: </w:t>
      </w:r>
    </w:p>
    <w:p w14:paraId="512F955E" w14:textId="77777777" w:rsidR="00F4714E" w:rsidRDefault="00F4714E" w:rsidP="00B575D1">
      <w:pPr>
        <w:pStyle w:val="ListParagraph"/>
        <w:numPr>
          <w:ilvl w:val="1"/>
          <w:numId w:val="29"/>
        </w:numPr>
        <w:spacing w:before="120" w:after="120"/>
      </w:pPr>
      <w:r>
        <w:t xml:space="preserve">Locking doors </w:t>
      </w:r>
    </w:p>
    <w:p w14:paraId="29821C9A" w14:textId="77777777" w:rsidR="00F4714E" w:rsidRDefault="00F4714E" w:rsidP="00B575D1">
      <w:pPr>
        <w:pStyle w:val="ListParagraph"/>
        <w:numPr>
          <w:ilvl w:val="1"/>
          <w:numId w:val="29"/>
        </w:numPr>
        <w:spacing w:before="120" w:after="120"/>
      </w:pPr>
      <w:r>
        <w:t xml:space="preserve">Locking filing cabinets </w:t>
      </w:r>
    </w:p>
    <w:p w14:paraId="7F901788" w14:textId="77777777" w:rsidR="00F4714E" w:rsidRDefault="00F4714E" w:rsidP="00B575D1">
      <w:pPr>
        <w:pStyle w:val="ListParagraph"/>
        <w:numPr>
          <w:ilvl w:val="1"/>
          <w:numId w:val="29"/>
        </w:numPr>
        <w:spacing w:before="120" w:after="120"/>
      </w:pPr>
      <w:r>
        <w:t xml:space="preserve">Managing access with the use of keys and swipe cards </w:t>
      </w:r>
    </w:p>
    <w:p w14:paraId="55E3C992" w14:textId="77777777" w:rsidR="00F4714E" w:rsidRDefault="00F4714E" w:rsidP="00B575D1">
      <w:pPr>
        <w:pStyle w:val="ListParagraph"/>
        <w:numPr>
          <w:ilvl w:val="0"/>
          <w:numId w:val="29"/>
        </w:numPr>
        <w:spacing w:before="120" w:after="120"/>
        <w:ind w:left="568" w:hanging="284"/>
      </w:pPr>
      <w:r>
        <w:t xml:space="preserve">Paper-based confidential information </w:t>
      </w:r>
      <w:r w:rsidR="00B575D1">
        <w:t>is stored securely when not in use. (</w:t>
      </w:r>
      <w:r>
        <w:t>Secure storage is particularly important at night-time and over weekends when buildings/offices may be unoccupied for a long period of time</w:t>
      </w:r>
      <w:proofErr w:type="gramStart"/>
      <w:r w:rsidR="00B575D1">
        <w:t>);</w:t>
      </w:r>
      <w:proofErr w:type="gramEnd"/>
    </w:p>
    <w:p w14:paraId="1EB8C7F9" w14:textId="77777777" w:rsidR="00F4714E" w:rsidRDefault="00F4714E" w:rsidP="00F4714E">
      <w:pPr>
        <w:pStyle w:val="ListParagraph"/>
        <w:numPr>
          <w:ilvl w:val="0"/>
          <w:numId w:val="29"/>
        </w:numPr>
        <w:spacing w:before="120" w:after="120"/>
        <w:ind w:left="568" w:hanging="284"/>
      </w:pPr>
      <w:r>
        <w:t>If moved, physical records must be tracked to the correct location</w:t>
      </w:r>
      <w:r w:rsidR="00B575D1">
        <w:t>.</w:t>
      </w:r>
      <w:r>
        <w:t xml:space="preserve"> </w:t>
      </w:r>
    </w:p>
    <w:p w14:paraId="31DC5E72" w14:textId="77777777" w:rsidR="00F4714E" w:rsidRPr="00B575D1" w:rsidRDefault="00F4714E" w:rsidP="00B575D1">
      <w:pPr>
        <w:spacing w:after="120"/>
        <w:rPr>
          <w:b/>
        </w:rPr>
      </w:pPr>
      <w:r w:rsidRPr="00B575D1">
        <w:rPr>
          <w:b/>
        </w:rPr>
        <w:t>Sharing Information</w:t>
      </w:r>
    </w:p>
    <w:p w14:paraId="6E1FFDB9" w14:textId="77777777" w:rsidR="00F4714E" w:rsidRDefault="00F4714E" w:rsidP="00B575D1">
      <w:pPr>
        <w:spacing w:after="120"/>
      </w:pPr>
      <w:r w:rsidRPr="00B575D1">
        <w:rPr>
          <w:b/>
        </w:rPr>
        <w:t>Verifying Identity</w:t>
      </w:r>
    </w:p>
    <w:p w14:paraId="5C5598E4" w14:textId="77777777" w:rsidR="00F4714E" w:rsidRDefault="00F4714E" w:rsidP="00F4714E">
      <w:r>
        <w:t>When sharing information with individuals in person or over the telephone it is important to confirm their identity before any confidential or sensitive information is released.</w:t>
      </w:r>
    </w:p>
    <w:p w14:paraId="5AD7583D" w14:textId="77777777" w:rsidR="00B575D1" w:rsidRDefault="00B575D1" w:rsidP="00F4714E"/>
    <w:p w14:paraId="12610E34" w14:textId="77777777" w:rsidR="00F4714E" w:rsidRDefault="00F4714E" w:rsidP="00F4714E">
      <w:r>
        <w:t xml:space="preserve">To confirm the identity of the patient over the phone or in person, a minimum of </w:t>
      </w:r>
      <w:r w:rsidR="00B575D1">
        <w:t>three</w:t>
      </w:r>
      <w:r>
        <w:t xml:space="preserve"> questions must be asked before any information is disclosed. Example questions could be for the patient to confirm</w:t>
      </w:r>
      <w:r w:rsidR="00B575D1">
        <w:t xml:space="preserve"> their </w:t>
      </w:r>
      <w:r>
        <w:t>date of birth</w:t>
      </w:r>
      <w:r w:rsidR="00B575D1">
        <w:t xml:space="preserve">, </w:t>
      </w:r>
      <w:r>
        <w:t>address</w:t>
      </w:r>
      <w:r w:rsidR="00B575D1">
        <w:t xml:space="preserve"> and postcode, </w:t>
      </w:r>
      <w:r>
        <w:t>their treatment o</w:t>
      </w:r>
      <w:r w:rsidR="00B575D1">
        <w:t xml:space="preserve">r dates of appointment, their </w:t>
      </w:r>
      <w:r>
        <w:t>hospital/NHS number</w:t>
      </w:r>
      <w:r w:rsidR="00B575D1">
        <w:t>.</w:t>
      </w:r>
    </w:p>
    <w:p w14:paraId="306AA5E7" w14:textId="77777777" w:rsidR="00B575D1" w:rsidRDefault="00B575D1" w:rsidP="00F4714E"/>
    <w:p w14:paraId="066B4D90" w14:textId="77777777" w:rsidR="00B575D1" w:rsidRDefault="00B575D1" w:rsidP="00F4714E">
      <w:proofErr w:type="gramStart"/>
      <w:r>
        <w:t>Similarly</w:t>
      </w:r>
      <w:proofErr w:type="gramEnd"/>
      <w:r>
        <w:t xml:space="preserve"> this process must be applied to those responsible for sharing information about employees. This is particularly important as, if employees identified by name only, this may result in incorrect identification as there is often more than one employee with the same or a similar name.</w:t>
      </w:r>
    </w:p>
    <w:p w14:paraId="5D8B3B18" w14:textId="77777777" w:rsidR="00B575D1" w:rsidRDefault="00B575D1" w:rsidP="00F4714E"/>
    <w:p w14:paraId="4166E0E2" w14:textId="77777777" w:rsidR="00F4714E" w:rsidRDefault="00F4714E" w:rsidP="00F4714E">
      <w:r>
        <w:t>When sharing information by post, email or fax, contact information should be checked for accuracy. This can be done by checking details at each appointment or by checking a second system, such as the NHS Spine</w:t>
      </w:r>
      <w:r w:rsidR="00B575D1">
        <w:t>, or the Electronic Staff Record (ESR)</w:t>
      </w:r>
      <w:r>
        <w:t xml:space="preserve">.  </w:t>
      </w:r>
    </w:p>
    <w:p w14:paraId="22CE1DC9" w14:textId="77777777" w:rsidR="00F4714E" w:rsidRDefault="00F4714E" w:rsidP="00F4714E"/>
    <w:p w14:paraId="58598022" w14:textId="77777777" w:rsidR="00F4714E" w:rsidRDefault="00F4714E" w:rsidP="00B575D1">
      <w:pPr>
        <w:spacing w:after="120"/>
      </w:pPr>
      <w:r w:rsidRPr="00B575D1">
        <w:rPr>
          <w:b/>
        </w:rPr>
        <w:t xml:space="preserve">Post / </w:t>
      </w:r>
      <w:r w:rsidR="00B575D1">
        <w:rPr>
          <w:b/>
        </w:rPr>
        <w:t>M</w:t>
      </w:r>
      <w:r w:rsidRPr="00B575D1">
        <w:rPr>
          <w:b/>
        </w:rPr>
        <w:t>ail</w:t>
      </w:r>
    </w:p>
    <w:p w14:paraId="7C958991" w14:textId="77777777" w:rsidR="00F4714E" w:rsidRPr="00B575D1" w:rsidRDefault="00F4714E" w:rsidP="00B575D1">
      <w:pPr>
        <w:spacing w:after="120"/>
        <w:rPr>
          <w:b/>
        </w:rPr>
      </w:pPr>
      <w:r w:rsidRPr="00B575D1">
        <w:rPr>
          <w:b/>
        </w:rPr>
        <w:t>General</w:t>
      </w:r>
    </w:p>
    <w:p w14:paraId="0FCB6B20" w14:textId="77777777" w:rsidR="00F4714E" w:rsidRDefault="00EB1917" w:rsidP="00F4714E">
      <w:r>
        <w:t>General postage rules may be found on the Trust’s intranet site. Post which needs additional security, such as a copy of a patient’s health record or bulky material, should be sent as a tracked recorded delivery.</w:t>
      </w:r>
      <w:r w:rsidRPr="00EB1917">
        <w:t xml:space="preserve"> Items which include a signature and need to be sent via Royal Mail First Class, Track &amp; Trace or Signed For services must be authorised by a Divisional Director or equivalent.</w:t>
      </w:r>
      <w:r>
        <w:t xml:space="preserve"> </w:t>
      </w:r>
      <w:r w:rsidR="00F4714E">
        <w:t xml:space="preserve">A tracking number should be supplied with this delivery which can be shared with the recipient so they know where the post currently is and when it can be expected. A signature is also required when the post is delivered. </w:t>
      </w:r>
    </w:p>
    <w:p w14:paraId="09D97063" w14:textId="77777777" w:rsidR="00EB1917" w:rsidRDefault="00EB1917" w:rsidP="00F4714E"/>
    <w:p w14:paraId="75B93D8F" w14:textId="77777777" w:rsidR="00F4714E" w:rsidRDefault="00F4714E" w:rsidP="00F4714E">
      <w:r>
        <w:t xml:space="preserve">Couriers can also be used when sending post which requires additional security. Couriers must be part of the Crown Commercial Services approved supplier list which can be found here: http://ccs-agreements.cabinetoffice.gov.uk/suppliers.   </w:t>
      </w:r>
    </w:p>
    <w:p w14:paraId="5E7B8E9C" w14:textId="77777777" w:rsidR="00F4714E" w:rsidRDefault="00F4714E" w:rsidP="00F4714E"/>
    <w:p w14:paraId="451AD3A8" w14:textId="77777777" w:rsidR="00F4714E" w:rsidRDefault="00F4714E" w:rsidP="00EB1917">
      <w:pPr>
        <w:spacing w:after="120"/>
      </w:pPr>
      <w:r w:rsidRPr="00EB1917">
        <w:rPr>
          <w:b/>
        </w:rPr>
        <w:t>Content</w:t>
      </w:r>
    </w:p>
    <w:p w14:paraId="3136BDD5" w14:textId="77777777" w:rsidR="00F4714E" w:rsidRDefault="00EB1917" w:rsidP="00EB1917">
      <w:pPr>
        <w:pStyle w:val="ListParagraph"/>
        <w:numPr>
          <w:ilvl w:val="0"/>
          <w:numId w:val="29"/>
        </w:numPr>
        <w:spacing w:before="120" w:after="120"/>
        <w:ind w:left="568" w:hanging="284"/>
      </w:pPr>
      <w:r>
        <w:t>Items sent in the post can be</w:t>
      </w:r>
      <w:r w:rsidR="00F4714E">
        <w:t xml:space="preserve"> letters, samples, disks or CDs, portable devices such as USB sticks, images such as clinical photography or x-rays, video recordings or anything else which is sent through the postal </w:t>
      </w:r>
      <w:proofErr w:type="gramStart"/>
      <w:r w:rsidR="00F4714E">
        <w:t>system</w:t>
      </w:r>
      <w:r>
        <w:t>;</w:t>
      </w:r>
      <w:proofErr w:type="gramEnd"/>
    </w:p>
    <w:p w14:paraId="1C1D5A24" w14:textId="77777777" w:rsidR="00F4714E" w:rsidRDefault="00F4714E" w:rsidP="00EB1917">
      <w:pPr>
        <w:pStyle w:val="ListParagraph"/>
        <w:numPr>
          <w:ilvl w:val="0"/>
          <w:numId w:val="29"/>
        </w:numPr>
        <w:spacing w:before="120" w:after="120"/>
        <w:ind w:left="568" w:hanging="284"/>
      </w:pPr>
      <w:r>
        <w:t xml:space="preserve">Due to the varying information and volume of </w:t>
      </w:r>
      <w:proofErr w:type="gramStart"/>
      <w:r>
        <w:t>post</w:t>
      </w:r>
      <w:proofErr w:type="gramEnd"/>
      <w:r>
        <w:t xml:space="preserve"> which is sent, all mail must be checked before it is pla</w:t>
      </w:r>
      <w:r w:rsidR="00EB1917">
        <w:t>ced into an envelope or package;</w:t>
      </w:r>
    </w:p>
    <w:p w14:paraId="2D17CEAD" w14:textId="77777777" w:rsidR="00F4714E" w:rsidRDefault="00F4714E" w:rsidP="00EB1917">
      <w:pPr>
        <w:pStyle w:val="ListParagraph"/>
        <w:numPr>
          <w:ilvl w:val="0"/>
          <w:numId w:val="29"/>
        </w:numPr>
        <w:spacing w:before="120" w:after="120"/>
        <w:ind w:left="568" w:hanging="284"/>
      </w:pPr>
      <w:r>
        <w:t xml:space="preserve">Checks are to ensure that all information is adequate, relevant and not excessive. All information should relate to the subject of the letter and should not include anything </w:t>
      </w:r>
      <w:r>
        <w:lastRenderedPageBreak/>
        <w:t xml:space="preserve">additional or relating to a third party. </w:t>
      </w:r>
      <w:r w:rsidR="00EB1917">
        <w:t>Before sealing the envelope or package, it is important to check that no extra documents or information about third parties has been included by mistake.</w:t>
      </w:r>
    </w:p>
    <w:p w14:paraId="05609426" w14:textId="77777777" w:rsidR="00F4714E" w:rsidRDefault="00F4714E" w:rsidP="00F4714E"/>
    <w:p w14:paraId="65202C5A" w14:textId="77777777" w:rsidR="00F4714E" w:rsidRPr="00EB1917" w:rsidRDefault="00F4714E" w:rsidP="00EB1917">
      <w:pPr>
        <w:spacing w:after="120"/>
        <w:rPr>
          <w:b/>
        </w:rPr>
      </w:pPr>
      <w:r w:rsidRPr="00EB1917">
        <w:rPr>
          <w:b/>
        </w:rPr>
        <w:t>Address</w:t>
      </w:r>
    </w:p>
    <w:p w14:paraId="1E525B87" w14:textId="77777777" w:rsidR="00F4714E" w:rsidRDefault="00F4714E" w:rsidP="00EB1917">
      <w:pPr>
        <w:pStyle w:val="ListParagraph"/>
        <w:numPr>
          <w:ilvl w:val="0"/>
          <w:numId w:val="29"/>
        </w:numPr>
        <w:spacing w:before="120" w:after="120"/>
        <w:ind w:left="568" w:hanging="284"/>
      </w:pPr>
      <w:r>
        <w:t xml:space="preserve">There is a facility to print address labels from some clinical systems. Before address labels are printed, the details must be checked to ensure that the correct information is being printed. </w:t>
      </w:r>
    </w:p>
    <w:p w14:paraId="588E13EC" w14:textId="77777777" w:rsidR="00F4714E" w:rsidRDefault="00F4714E" w:rsidP="00EB1917">
      <w:pPr>
        <w:pStyle w:val="ListParagraph"/>
        <w:numPr>
          <w:ilvl w:val="0"/>
          <w:numId w:val="29"/>
        </w:numPr>
        <w:spacing w:before="120" w:after="120"/>
        <w:ind w:left="568" w:hanging="284"/>
      </w:pPr>
      <w:r>
        <w:t>When handwriting addresses on envelopes</w:t>
      </w:r>
      <w:r w:rsidR="00EB1917">
        <w:t>,</w:t>
      </w:r>
      <w:r>
        <w:t xml:space="preserve"> the address should be checked for accuracy. This should be copied from an up-to-date system or recent entry in the physical notes. </w:t>
      </w:r>
    </w:p>
    <w:p w14:paraId="5D9F2251" w14:textId="77777777" w:rsidR="00F4714E" w:rsidRDefault="00F4714E" w:rsidP="00EB1917">
      <w:pPr>
        <w:pStyle w:val="ListParagraph"/>
        <w:numPr>
          <w:ilvl w:val="0"/>
          <w:numId w:val="29"/>
        </w:numPr>
        <w:spacing w:before="120" w:after="120"/>
        <w:ind w:left="568" w:hanging="284"/>
      </w:pPr>
      <w:r>
        <w:t>Whether the address has been printed or handwritten, the address must be checked to ensure that the address relates to the correct person or organisation</w:t>
      </w:r>
      <w:r w:rsidR="00EB1917">
        <w:t>, and</w:t>
      </w:r>
      <w:r>
        <w:t xml:space="preserve"> </w:t>
      </w:r>
      <w:r w:rsidR="00EB1917">
        <w:t>must be fully addressed clear, visible and legible.</w:t>
      </w:r>
    </w:p>
    <w:p w14:paraId="3CF4789C" w14:textId="2C0BFA18" w:rsidR="00F4714E" w:rsidRDefault="00F4714E" w:rsidP="00EB1917">
      <w:pPr>
        <w:pStyle w:val="ListParagraph"/>
        <w:numPr>
          <w:ilvl w:val="0"/>
          <w:numId w:val="29"/>
        </w:numPr>
        <w:spacing w:before="120" w:after="120"/>
        <w:ind w:left="568" w:hanging="284"/>
      </w:pPr>
      <w:r>
        <w:t>People and organisations change contact details regularly</w:t>
      </w:r>
      <w:r w:rsidR="00EB1917">
        <w:t>,</w:t>
      </w:r>
      <w:r>
        <w:t xml:space="preserve"> so addresses should be double checked wherever possible against a separate record to ensure that the most up-to-date contact details are being used. </w:t>
      </w:r>
      <w:r w:rsidR="00EE3DFF">
        <w:t xml:space="preserve">If staff have access to the Integrated Care Record (ICR) it is possible to check demographics that are recorded at other providers such as the GP, which may be more </w:t>
      </w:r>
      <w:proofErr w:type="gramStart"/>
      <w:r w:rsidR="00EE3DFF">
        <w:t>up-to-date</w:t>
      </w:r>
      <w:proofErr w:type="gramEnd"/>
      <w:r w:rsidR="00EE3DFF">
        <w:t>. To do this; firstly, r</w:t>
      </w:r>
      <w:r w:rsidR="00EE3DFF" w:rsidRPr="00EE3DFF">
        <w:t xml:space="preserve">etrieve </w:t>
      </w:r>
      <w:r w:rsidR="00EE3DFF">
        <w:t xml:space="preserve">the </w:t>
      </w:r>
      <w:r w:rsidR="00EE3DFF" w:rsidRPr="00EE3DFF">
        <w:t>patient in the ICR and on the landing page, click on the arrow to expand the 'Record Content &amp; Demographics'</w:t>
      </w:r>
      <w:r w:rsidR="00EE3DFF">
        <w:t xml:space="preserve"> widget, secondly, n</w:t>
      </w:r>
      <w:r w:rsidR="00EE3DFF" w:rsidRPr="00EE3DFF">
        <w:t>avigate between the 'Care Providers' to see the demographics data submitted by each provider</w:t>
      </w:r>
      <w:r w:rsidR="00EE3DFF">
        <w:t xml:space="preserve">.  </w:t>
      </w:r>
    </w:p>
    <w:p w14:paraId="09C3C3D4" w14:textId="77777777" w:rsidR="00F4714E" w:rsidRDefault="00F4714E" w:rsidP="00F4714E"/>
    <w:p w14:paraId="363C569C" w14:textId="77777777" w:rsidR="00F4714E" w:rsidRPr="00EB1917" w:rsidRDefault="00F4714E" w:rsidP="00EB1917">
      <w:pPr>
        <w:spacing w:after="120"/>
        <w:rPr>
          <w:b/>
        </w:rPr>
      </w:pPr>
      <w:r w:rsidRPr="00EB1917">
        <w:rPr>
          <w:b/>
        </w:rPr>
        <w:t>Envelope</w:t>
      </w:r>
    </w:p>
    <w:p w14:paraId="43D37A29" w14:textId="77777777" w:rsidR="00F4714E" w:rsidRDefault="00F4714E" w:rsidP="00EB1917">
      <w:pPr>
        <w:pStyle w:val="ListParagraph"/>
        <w:numPr>
          <w:ilvl w:val="0"/>
          <w:numId w:val="29"/>
        </w:numPr>
        <w:spacing w:before="120" w:after="120"/>
        <w:ind w:left="568" w:hanging="284"/>
      </w:pPr>
      <w:r>
        <w:t>All envelopes or packages that are used to send mail must be sealed securely and the</w:t>
      </w:r>
      <w:r w:rsidR="00EB1917">
        <w:t xml:space="preserve"> packaging or e</w:t>
      </w:r>
      <w:r>
        <w:t>nvelope</w:t>
      </w:r>
      <w:r w:rsidR="00EB1917">
        <w:t xml:space="preserve"> must not be re-used or</w:t>
      </w:r>
      <w:r>
        <w:t xml:space="preserve"> stuck down with tape. This is not adequate security to stop the letter being opened and there will be no way to know whether the letter has been tampered with. </w:t>
      </w:r>
    </w:p>
    <w:p w14:paraId="2302486B" w14:textId="77777777" w:rsidR="00F4714E" w:rsidRDefault="00F4714E" w:rsidP="00EB1917">
      <w:pPr>
        <w:pStyle w:val="ListParagraph"/>
        <w:numPr>
          <w:ilvl w:val="0"/>
          <w:numId w:val="29"/>
        </w:numPr>
        <w:spacing w:before="120" w:after="120"/>
        <w:ind w:left="568" w:hanging="284"/>
      </w:pPr>
      <w:r>
        <w:t xml:space="preserve">Envelopes or packages should be opaque </w:t>
      </w:r>
      <w:r w:rsidR="00EB1917">
        <w:t>so that</w:t>
      </w:r>
      <w:r>
        <w:t xml:space="preserve"> </w:t>
      </w:r>
      <w:r w:rsidR="00EB1917">
        <w:t>the contents are not</w:t>
      </w:r>
      <w:r>
        <w:t xml:space="preserve"> visible</w:t>
      </w:r>
      <w:r w:rsidR="00EB1917">
        <w:t xml:space="preserve"> </w:t>
      </w:r>
      <w:r>
        <w:t xml:space="preserve">other than a recipient’s </w:t>
      </w:r>
      <w:r w:rsidR="00EB1917">
        <w:t xml:space="preserve">name and </w:t>
      </w:r>
      <w:r>
        <w:t xml:space="preserve">address. </w:t>
      </w:r>
    </w:p>
    <w:p w14:paraId="29A0FC53" w14:textId="77777777" w:rsidR="00F4714E" w:rsidRDefault="00F4714E" w:rsidP="00EB1917">
      <w:pPr>
        <w:pStyle w:val="ListParagraph"/>
        <w:numPr>
          <w:ilvl w:val="0"/>
          <w:numId w:val="29"/>
        </w:numPr>
        <w:spacing w:before="120" w:after="120"/>
        <w:ind w:left="568" w:hanging="284"/>
      </w:pPr>
      <w:r>
        <w:t xml:space="preserve">All mail which contains personal or sensitive data must have the words ‘Private and confidential’ clearly visible on the front of the envelope or package. </w:t>
      </w:r>
    </w:p>
    <w:p w14:paraId="1FFCD29F" w14:textId="77777777" w:rsidR="00F4714E" w:rsidRDefault="00F4714E" w:rsidP="00EB1917">
      <w:pPr>
        <w:pStyle w:val="ListParagraph"/>
        <w:numPr>
          <w:ilvl w:val="0"/>
          <w:numId w:val="29"/>
        </w:numPr>
        <w:spacing w:before="120" w:after="120"/>
        <w:ind w:left="568" w:hanging="284"/>
      </w:pPr>
      <w:r>
        <w:t>Internal post containing person-identifiable or other confidential data must only be sent in a securely sealed, correctly addressed envelope.  Only envelopes that are designed to be re</w:t>
      </w:r>
      <w:r w:rsidR="00EB1917">
        <w:t>-</w:t>
      </w:r>
      <w:r>
        <w:t>used</w:t>
      </w:r>
      <w:r w:rsidR="00EB1917">
        <w:t xml:space="preserve">, </w:t>
      </w:r>
      <w:proofErr w:type="gramStart"/>
      <w:r w:rsidR="00EB1917">
        <w:t>e.g.</w:t>
      </w:r>
      <w:proofErr w:type="gramEnd"/>
      <w:r w:rsidR="00EB1917">
        <w:t xml:space="preserve"> </w:t>
      </w:r>
      <w:r>
        <w:t>have multiple address boxes</w:t>
      </w:r>
      <w:r w:rsidR="00EB1917">
        <w:t>,</w:t>
      </w:r>
      <w:r>
        <w:t xml:space="preserve"> can be </w:t>
      </w:r>
      <w:r w:rsidR="00EB1917">
        <w:t>re-used</w:t>
      </w:r>
      <w:r>
        <w:t xml:space="preserve">, and </w:t>
      </w:r>
      <w:r w:rsidR="00EB1917">
        <w:t>the</w:t>
      </w:r>
      <w:r>
        <w:t xml:space="preserve"> envelope </w:t>
      </w:r>
      <w:r w:rsidR="00EE48C1">
        <w:t>m</w:t>
      </w:r>
      <w:r w:rsidR="00EB1917">
        <w:t>ust</w:t>
      </w:r>
      <w:r>
        <w:t xml:space="preserve"> not be torn or the integrity compromised. Single use envelopes must </w:t>
      </w:r>
      <w:r w:rsidR="00EB1917">
        <w:t>not</w:t>
      </w:r>
      <w:r>
        <w:t xml:space="preserve"> be re-used, as there is a risk that they will go astray.</w:t>
      </w:r>
    </w:p>
    <w:p w14:paraId="4128E8C4" w14:textId="77777777" w:rsidR="00F4714E" w:rsidRPr="00EB1917" w:rsidRDefault="00F4714E" w:rsidP="00EB1917">
      <w:pPr>
        <w:spacing w:after="120"/>
        <w:rPr>
          <w:b/>
        </w:rPr>
      </w:pPr>
      <w:r w:rsidRPr="00EB1917">
        <w:rPr>
          <w:b/>
        </w:rPr>
        <w:t>Phone</w:t>
      </w:r>
    </w:p>
    <w:p w14:paraId="59767A39" w14:textId="77777777" w:rsidR="00F4714E" w:rsidRPr="00EB1917" w:rsidRDefault="00F4714E" w:rsidP="00EB1917">
      <w:pPr>
        <w:spacing w:after="120"/>
        <w:rPr>
          <w:b/>
        </w:rPr>
      </w:pPr>
      <w:r w:rsidRPr="00EB1917">
        <w:rPr>
          <w:b/>
        </w:rPr>
        <w:t>General</w:t>
      </w:r>
    </w:p>
    <w:p w14:paraId="313BC070" w14:textId="77777777" w:rsidR="00EB1917" w:rsidRDefault="00EB1917" w:rsidP="00EB1917">
      <w:pPr>
        <w:pStyle w:val="ListParagraph"/>
        <w:numPr>
          <w:ilvl w:val="0"/>
          <w:numId w:val="29"/>
        </w:numPr>
        <w:spacing w:before="120" w:after="120"/>
        <w:ind w:left="568" w:hanging="284"/>
      </w:pPr>
      <w:r>
        <w:t>Data subjects have the</w:t>
      </w:r>
      <w:r w:rsidR="00F4714E">
        <w:t xml:space="preserve"> right to privacy so we must </w:t>
      </w:r>
      <w:r>
        <w:t xml:space="preserve">not </w:t>
      </w:r>
      <w:r w:rsidR="00F4714E">
        <w:t>talk to the</w:t>
      </w:r>
      <w:r>
        <w:t>m or discuss them over the phone in a public area where the conversation may be overheard.</w:t>
      </w:r>
    </w:p>
    <w:p w14:paraId="5C525975" w14:textId="77777777" w:rsidR="00F4714E" w:rsidRDefault="00EB1917" w:rsidP="00EB1917">
      <w:pPr>
        <w:pStyle w:val="ListParagraph"/>
        <w:numPr>
          <w:ilvl w:val="0"/>
          <w:numId w:val="29"/>
        </w:numPr>
        <w:spacing w:before="120" w:after="120"/>
        <w:ind w:left="568" w:hanging="284"/>
      </w:pPr>
      <w:r>
        <w:t>U</w:t>
      </w:r>
      <w:r w:rsidR="00F4714E">
        <w:t xml:space="preserve">nless </w:t>
      </w:r>
      <w:r>
        <w:t>there is</w:t>
      </w:r>
      <w:r w:rsidR="00F4714E">
        <w:t xml:space="preserve"> justified reason to speak to someone on </w:t>
      </w:r>
      <w:r>
        <w:t>a patient’s</w:t>
      </w:r>
      <w:r w:rsidR="00F4714E">
        <w:t xml:space="preserve"> behalf, </w:t>
      </w:r>
      <w:proofErr w:type="gramStart"/>
      <w:r w:rsidR="00F4714E">
        <w:t>e.g.</w:t>
      </w:r>
      <w:proofErr w:type="gramEnd"/>
      <w:r w:rsidR="00F4714E">
        <w:t xml:space="preserve"> they have given their consent or it is in their best interests</w:t>
      </w:r>
      <w:r>
        <w:t>, contact should be with the patient directly</w:t>
      </w:r>
      <w:r w:rsidR="00F4714E">
        <w:t>.</w:t>
      </w:r>
    </w:p>
    <w:p w14:paraId="5E3ED65D" w14:textId="77777777" w:rsidR="00F4714E" w:rsidRDefault="00F4714E" w:rsidP="00EB1917">
      <w:pPr>
        <w:pStyle w:val="ListParagraph"/>
        <w:numPr>
          <w:ilvl w:val="0"/>
          <w:numId w:val="29"/>
        </w:numPr>
        <w:spacing w:before="120" w:after="120"/>
        <w:ind w:left="568" w:hanging="284"/>
      </w:pPr>
      <w:r>
        <w:t>Avoid “alarmist” language such as ‘it’s confidential’ or jargon like ‘fast track’.</w:t>
      </w:r>
    </w:p>
    <w:p w14:paraId="2BB2871A" w14:textId="77777777" w:rsidR="00F4714E" w:rsidRDefault="00F4714E" w:rsidP="00EB1917">
      <w:pPr>
        <w:pStyle w:val="ListParagraph"/>
        <w:numPr>
          <w:ilvl w:val="0"/>
          <w:numId w:val="29"/>
        </w:numPr>
        <w:spacing w:before="120" w:after="120"/>
        <w:ind w:left="568" w:hanging="284"/>
      </w:pPr>
      <w:r>
        <w:t>If you think you may need to contact the patient by phone, ask if you can call them at work, at home or on a mobile.</w:t>
      </w:r>
    </w:p>
    <w:p w14:paraId="7AF5B7B3" w14:textId="77777777" w:rsidR="00F4714E" w:rsidRDefault="00F4714E" w:rsidP="00EB1917">
      <w:pPr>
        <w:pStyle w:val="ListParagraph"/>
        <w:numPr>
          <w:ilvl w:val="0"/>
          <w:numId w:val="29"/>
        </w:numPr>
        <w:spacing w:before="120" w:after="120"/>
        <w:ind w:left="568" w:hanging="284"/>
      </w:pPr>
      <w:r>
        <w:lastRenderedPageBreak/>
        <w:t>Ask if you can leave messages.</w:t>
      </w:r>
    </w:p>
    <w:p w14:paraId="3F954444" w14:textId="77777777" w:rsidR="00F4714E" w:rsidRDefault="00F4714E" w:rsidP="00EB1917">
      <w:pPr>
        <w:pStyle w:val="ListParagraph"/>
        <w:numPr>
          <w:ilvl w:val="0"/>
          <w:numId w:val="29"/>
        </w:numPr>
        <w:spacing w:before="120" w:after="120"/>
        <w:ind w:left="568" w:hanging="284"/>
      </w:pPr>
      <w:r>
        <w:t>Before contacting staff in other areas of the Trust or those in external agencies always ensure you have</w:t>
      </w:r>
      <w:r w:rsidR="00EB1917">
        <w:t xml:space="preserve"> a lawful basis to process their information.</w:t>
      </w:r>
    </w:p>
    <w:p w14:paraId="5C68B074" w14:textId="77777777" w:rsidR="00F4714E" w:rsidRDefault="00F4714E" w:rsidP="00F4714E"/>
    <w:p w14:paraId="3746447B" w14:textId="77777777" w:rsidR="00F4714E" w:rsidRPr="00EB1917" w:rsidRDefault="00F4714E" w:rsidP="00EB1917">
      <w:pPr>
        <w:spacing w:after="120"/>
        <w:rPr>
          <w:b/>
        </w:rPr>
      </w:pPr>
      <w:r w:rsidRPr="00EB1917">
        <w:rPr>
          <w:b/>
        </w:rPr>
        <w:t>Making Calls</w:t>
      </w:r>
    </w:p>
    <w:p w14:paraId="1DBE0391" w14:textId="77777777" w:rsidR="00F4714E" w:rsidRDefault="00F4714E" w:rsidP="00EB1917">
      <w:pPr>
        <w:pStyle w:val="ListParagraph"/>
        <w:numPr>
          <w:ilvl w:val="0"/>
          <w:numId w:val="29"/>
        </w:numPr>
        <w:spacing w:before="120" w:after="120"/>
        <w:ind w:left="568" w:hanging="284"/>
      </w:pPr>
      <w:r>
        <w:t>Always confirm who you are speaking to before releasing information.</w:t>
      </w:r>
    </w:p>
    <w:p w14:paraId="1D9BA633" w14:textId="77777777" w:rsidR="00F4714E" w:rsidRDefault="00F4714E" w:rsidP="00EB1917">
      <w:pPr>
        <w:pStyle w:val="ListParagraph"/>
        <w:numPr>
          <w:ilvl w:val="0"/>
          <w:numId w:val="29"/>
        </w:numPr>
        <w:spacing w:before="120" w:after="120"/>
        <w:ind w:left="568" w:hanging="284"/>
      </w:pPr>
      <w:r>
        <w:t>Document actions taken - Health</w:t>
      </w:r>
      <w:r w:rsidR="00EB1917">
        <w:t>care</w:t>
      </w:r>
      <w:r>
        <w:t xml:space="preserve"> professionals and carers may need </w:t>
      </w:r>
      <w:r w:rsidR="00EB1917">
        <w:t>this</w:t>
      </w:r>
      <w:r>
        <w:t xml:space="preserve"> information to provide best care for the patient, </w:t>
      </w:r>
      <w:r w:rsidR="00EB1917">
        <w:t>and</w:t>
      </w:r>
      <w:r>
        <w:t xml:space="preserve"> you may need to provide it without consent in circumstances that warrant it.</w:t>
      </w:r>
    </w:p>
    <w:p w14:paraId="7743A1CE" w14:textId="77777777" w:rsidR="00F4714E" w:rsidRDefault="00F4714E" w:rsidP="00EB1917">
      <w:pPr>
        <w:pStyle w:val="ListParagraph"/>
        <w:numPr>
          <w:ilvl w:val="0"/>
          <w:numId w:val="29"/>
        </w:numPr>
        <w:spacing w:before="120" w:after="120"/>
        <w:ind w:left="568" w:hanging="284"/>
      </w:pPr>
      <w:r>
        <w:t xml:space="preserve">When calling someone at the request of the patient, or because they need to be contacted, always </w:t>
      </w:r>
      <w:r w:rsidR="00EB1917">
        <w:t>check who</w:t>
      </w:r>
      <w:r>
        <w:t xml:space="preserve"> answers the phone </w:t>
      </w:r>
      <w:proofErr w:type="gramStart"/>
      <w:r>
        <w:t>if at all possible</w:t>
      </w:r>
      <w:proofErr w:type="gramEnd"/>
      <w:r>
        <w:t>.</w:t>
      </w:r>
    </w:p>
    <w:p w14:paraId="78A34D46" w14:textId="77777777" w:rsidR="00F4714E" w:rsidRPr="00EB1917" w:rsidRDefault="00F4714E" w:rsidP="00EB1917">
      <w:pPr>
        <w:spacing w:before="120" w:after="120"/>
        <w:rPr>
          <w:b/>
        </w:rPr>
      </w:pPr>
      <w:r w:rsidRPr="00EB1917">
        <w:rPr>
          <w:b/>
        </w:rPr>
        <w:t>Leaving messages on Answerphones:</w:t>
      </w:r>
    </w:p>
    <w:p w14:paraId="2BD876EF" w14:textId="77777777" w:rsidR="00F4714E" w:rsidRDefault="00F4714E" w:rsidP="00F4714E">
      <w:r>
        <w:t>Double check it is the correct number</w:t>
      </w:r>
      <w:r w:rsidR="00EB1917">
        <w:t xml:space="preserve">. </w:t>
      </w:r>
      <w:r>
        <w:t>Unless you can guarantee that the message will be delivered to and received by the correct patient then do not leave a message. Patient confidentiality can be breached from messages left on answer phones, resulting in embarrassing or harmful situations arising.</w:t>
      </w:r>
    </w:p>
    <w:p w14:paraId="2A577615" w14:textId="77777777" w:rsidR="00EB1917" w:rsidRDefault="00EB1917" w:rsidP="00F4714E"/>
    <w:p w14:paraId="7859D380" w14:textId="77777777" w:rsidR="00F4714E" w:rsidRDefault="00F4714E" w:rsidP="00F4714E">
      <w:r>
        <w:t xml:space="preserve">If you </w:t>
      </w:r>
      <w:proofErr w:type="gramStart"/>
      <w:r>
        <w:t>have to</w:t>
      </w:r>
      <w:proofErr w:type="gramEnd"/>
      <w:r>
        <w:t xml:space="preserve"> leave a message, think about what you say, and leave the minimum amount of information – for example, ‘Please call (number) to talk about your appointment’ (This will be clear to the patient, but ambiguous to anyone else hearing the message.)</w:t>
      </w:r>
    </w:p>
    <w:p w14:paraId="2913C778" w14:textId="77777777" w:rsidR="00EB1917" w:rsidRDefault="00EB1917" w:rsidP="00F4714E"/>
    <w:p w14:paraId="76D804B5" w14:textId="77777777" w:rsidR="00F4714E" w:rsidRDefault="00F4714E" w:rsidP="00F4714E">
      <w:r>
        <w:t>Do not mention the Trust or leave any clinical information</w:t>
      </w:r>
    </w:p>
    <w:p w14:paraId="583983D8" w14:textId="77777777" w:rsidR="00EB1917" w:rsidRDefault="00EB1917" w:rsidP="00F4714E"/>
    <w:p w14:paraId="3183EB7B" w14:textId="77777777" w:rsidR="00F4714E" w:rsidRDefault="00F4714E" w:rsidP="00F4714E">
      <w:r>
        <w:t>When the phone is answered by someone else</w:t>
      </w:r>
      <w:r w:rsidR="00EB1917">
        <w:t xml:space="preserve"> a</w:t>
      </w:r>
      <w:r>
        <w:t>lways ask to speak to the patient, but don’t say where you are calling from.</w:t>
      </w:r>
      <w:r w:rsidR="00EB1917">
        <w:t xml:space="preserve"> </w:t>
      </w:r>
      <w:r>
        <w:t>If they ask who is calling, you should respond with a minimum amount of information.</w:t>
      </w:r>
      <w:r w:rsidR="00EB1917">
        <w:t xml:space="preserve"> S</w:t>
      </w:r>
      <w:r>
        <w:t>tating you are calling about their appointment may be sufficient. If they continue to ask where you are calling from, only tell them if the organisation name does not imply anything to do with the health of the patient.</w:t>
      </w:r>
    </w:p>
    <w:p w14:paraId="2CEDAABF" w14:textId="77777777" w:rsidR="00F4714E" w:rsidRDefault="00F4714E" w:rsidP="00F4714E">
      <w:r>
        <w:t xml:space="preserve">If the patient is not present, then unless there is a degree of urgency do not leave a </w:t>
      </w:r>
      <w:proofErr w:type="gramStart"/>
      <w:r>
        <w:t>message, but</w:t>
      </w:r>
      <w:proofErr w:type="gramEnd"/>
      <w:r>
        <w:t xml:space="preserve"> ask </w:t>
      </w:r>
      <w:r w:rsidR="00EB1917">
        <w:t>about</w:t>
      </w:r>
      <w:r>
        <w:t xml:space="preserve"> a </w:t>
      </w:r>
      <w:r w:rsidR="00EB1917">
        <w:t>suitable</w:t>
      </w:r>
      <w:r>
        <w:t xml:space="preserve"> time to call back.</w:t>
      </w:r>
    </w:p>
    <w:p w14:paraId="34BC2BCB" w14:textId="77777777" w:rsidR="00EB1917" w:rsidRDefault="00EB1917" w:rsidP="00F4714E"/>
    <w:p w14:paraId="31E8CC62" w14:textId="77777777" w:rsidR="00F4714E" w:rsidRDefault="00F4714E" w:rsidP="00F4714E">
      <w:r>
        <w:t>If the patient is present but unable to speak (either due to language or physical difficulties), ask to speak to the</w:t>
      </w:r>
      <w:r w:rsidR="00EB1917">
        <w:t>ir</w:t>
      </w:r>
      <w:r>
        <w:t xml:space="preserve"> next of kin. Before giving information to them, try to ascertain whether they are aware of why you may be calling (it may be necessary to reveal basic information to do this).</w:t>
      </w:r>
    </w:p>
    <w:p w14:paraId="4AF5A9F0" w14:textId="77777777" w:rsidR="00F4714E" w:rsidRDefault="00F4714E" w:rsidP="00F4714E"/>
    <w:p w14:paraId="4D8529F6" w14:textId="77777777" w:rsidR="00F4714E" w:rsidRDefault="00F4714E" w:rsidP="00EB1917">
      <w:pPr>
        <w:spacing w:before="120" w:after="120"/>
      </w:pPr>
      <w:r w:rsidRPr="00EB1917">
        <w:rPr>
          <w:b/>
        </w:rPr>
        <w:t>Receiving Calls</w:t>
      </w:r>
    </w:p>
    <w:p w14:paraId="08A7B10A" w14:textId="77777777" w:rsidR="00F4714E" w:rsidRDefault="00F4714E" w:rsidP="00F4714E">
      <w:r>
        <w:t>Personal information relating to outpatients must only be released to the patient themselves. For inpatients, calls should be directed to the ward/department where the patient is located</w:t>
      </w:r>
      <w:r w:rsidR="001E1659">
        <w:t xml:space="preserve">, except where the ward location/department would itself reveal information about the patient when </w:t>
      </w:r>
      <w:proofErr w:type="gramStart"/>
      <w:r w:rsidR="001E1659">
        <w:t>answered;</w:t>
      </w:r>
      <w:proofErr w:type="gramEnd"/>
      <w:r w:rsidR="001E1659">
        <w:t xml:space="preserve"> for example, the delivery suite or birthing centre, cancer services, sexual health</w:t>
      </w:r>
      <w:r>
        <w:t>.</w:t>
      </w:r>
      <w:r w:rsidR="00EB1917">
        <w:t xml:space="preserve"> </w:t>
      </w:r>
      <w:r>
        <w:t>Where the patient is conscious and considered competent, patient consent should always be obtained before information about them is released. If consent cannot be obtained immediately, take a message from the friend or relative and inform the patient of the call when appropriate.</w:t>
      </w:r>
    </w:p>
    <w:p w14:paraId="243F8AFA" w14:textId="77777777" w:rsidR="00EB1917" w:rsidRDefault="00EB1917" w:rsidP="00F4714E"/>
    <w:p w14:paraId="34C35118" w14:textId="77777777" w:rsidR="00F4714E" w:rsidRDefault="00F4714E" w:rsidP="00F4714E">
      <w:r>
        <w:t>If someone has called you and you are not sure who they are, if possible, ring them back through a switchboard or number that we have recorded.</w:t>
      </w:r>
      <w:r w:rsidR="00EB1917">
        <w:t xml:space="preserve"> </w:t>
      </w:r>
      <w:r>
        <w:t>A caller’s identity can be confirmed by calling them back on an independently verified contact number (</w:t>
      </w:r>
      <w:proofErr w:type="gramStart"/>
      <w:r>
        <w:t>e.g.</w:t>
      </w:r>
      <w:proofErr w:type="gramEnd"/>
      <w:r>
        <w:t xml:space="preserve"> a number available on their website). If you can’t call them back, because time or circumstance don’t allow, don’t be afraid to ask questions of them. </w:t>
      </w:r>
    </w:p>
    <w:p w14:paraId="440AC901" w14:textId="77777777" w:rsidR="00EB1917" w:rsidRDefault="00EB1917" w:rsidP="00F4714E"/>
    <w:p w14:paraId="6CCE098C" w14:textId="77777777" w:rsidR="00F4714E" w:rsidRDefault="00F4714E" w:rsidP="00F4714E">
      <w:r>
        <w:t>Information should only be disclosed to those who can prove they need to know. ‘Because I am….’ is not a sufficient reason. A bona fide requestor should not be concerned about answering questions.</w:t>
      </w:r>
      <w:r w:rsidR="00EB1917">
        <w:t xml:space="preserve"> </w:t>
      </w:r>
      <w:r>
        <w:t>Get the caller to tell you things about the patient, to confirm you are talking about the right person. This might discourage some ‘bogus’ callers as well as confirm you have the right person’s information.</w:t>
      </w:r>
    </w:p>
    <w:p w14:paraId="37512610" w14:textId="77777777" w:rsidR="00EB1917" w:rsidRDefault="00EB1917" w:rsidP="00F4714E"/>
    <w:p w14:paraId="3F2E045C" w14:textId="6ADDD0F2" w:rsidR="00F4714E" w:rsidRDefault="00F4714E" w:rsidP="00F4714E">
      <w:r>
        <w:t>Unless you have patient consent, or can justify why the caller should know, then very limited information can be provided.</w:t>
      </w:r>
      <w:r w:rsidR="00EB1917">
        <w:t xml:space="preserve"> </w:t>
      </w:r>
      <w:r>
        <w:tab/>
        <w:t>Check the patient records to see if someone is acting on behalf of a patient who can’t call for themselves. Without the above checks being made, confidential information cannot be disclosed.  If in doubt about answering enquiries, employees should check with the consultant/doctor in charge of the patient’s care or with a line manager.</w:t>
      </w:r>
    </w:p>
    <w:p w14:paraId="5AA5BC70" w14:textId="233AFD84" w:rsidR="0090195F" w:rsidRDefault="0090195F" w:rsidP="00F4714E"/>
    <w:p w14:paraId="291C68DA" w14:textId="1396476F" w:rsidR="0090195F" w:rsidRPr="00AF5C26" w:rsidRDefault="0090195F" w:rsidP="00AF5C26">
      <w:pPr>
        <w:spacing w:before="120" w:after="120"/>
        <w:rPr>
          <w:b/>
        </w:rPr>
      </w:pPr>
      <w:r w:rsidRPr="00AF5C26">
        <w:rPr>
          <w:b/>
        </w:rPr>
        <w:t>Text Messages</w:t>
      </w:r>
    </w:p>
    <w:p w14:paraId="073F3C14" w14:textId="4CDD550C" w:rsidR="0090195F" w:rsidRDefault="0090195F" w:rsidP="00F4714E">
      <w:r>
        <w:t xml:space="preserve">The Trust uses various systems to text either patients or staff. Texts can only be used in certain </w:t>
      </w:r>
      <w:r w:rsidR="009D1E16">
        <w:t>circumstances;</w:t>
      </w:r>
      <w:r>
        <w:t xml:space="preserve"> </w:t>
      </w:r>
      <w:proofErr w:type="gramStart"/>
      <w:r>
        <w:t>otherwise</w:t>
      </w:r>
      <w:proofErr w:type="gramEnd"/>
      <w:r>
        <w:t xml:space="preserve"> it will be a breach of the Privacy and Electronic Communications Regulations. The ICO and </w:t>
      </w:r>
      <w:proofErr w:type="spellStart"/>
      <w:r>
        <w:t>NHSx</w:t>
      </w:r>
      <w:proofErr w:type="spellEnd"/>
      <w:r>
        <w:t xml:space="preserve"> have clarified that the following uses of text messages will not be considered marketing, and are therefore, acceptable in moderation:</w:t>
      </w:r>
    </w:p>
    <w:p w14:paraId="1F867337" w14:textId="77777777" w:rsidR="0090195F" w:rsidRDefault="0090195F" w:rsidP="0090195F">
      <w:pPr>
        <w:pStyle w:val="ListParagraph"/>
        <w:numPr>
          <w:ilvl w:val="0"/>
          <w:numId w:val="40"/>
        </w:numPr>
        <w:overflowPunct/>
        <w:autoSpaceDE/>
        <w:autoSpaceDN/>
        <w:adjustRightInd/>
        <w:spacing w:after="200" w:line="276" w:lineRule="auto"/>
        <w:contextualSpacing/>
        <w:jc w:val="left"/>
        <w:textAlignment w:val="auto"/>
      </w:pPr>
      <w:r>
        <w:t xml:space="preserve">appointment reminder or confirmation </w:t>
      </w:r>
      <w:proofErr w:type="gramStart"/>
      <w:r>
        <w:t>messages;</w:t>
      </w:r>
      <w:proofErr w:type="gramEnd"/>
    </w:p>
    <w:p w14:paraId="03FED48F" w14:textId="77777777" w:rsidR="0090195F" w:rsidRDefault="0090195F" w:rsidP="0090195F">
      <w:pPr>
        <w:pStyle w:val="ListParagraph"/>
        <w:numPr>
          <w:ilvl w:val="0"/>
          <w:numId w:val="40"/>
        </w:numPr>
        <w:overflowPunct/>
        <w:autoSpaceDE/>
        <w:autoSpaceDN/>
        <w:adjustRightInd/>
        <w:spacing w:after="200" w:line="276" w:lineRule="auto"/>
        <w:contextualSpacing/>
        <w:jc w:val="left"/>
        <w:textAlignment w:val="auto"/>
      </w:pPr>
      <w:r>
        <w:t xml:space="preserve">acknowledgment messages such as confirming receipt of information or </w:t>
      </w:r>
      <w:proofErr w:type="gramStart"/>
      <w:r>
        <w:t>applications;</w:t>
      </w:r>
      <w:proofErr w:type="gramEnd"/>
    </w:p>
    <w:p w14:paraId="7871DEBC" w14:textId="77777777" w:rsidR="0090195F" w:rsidRDefault="0090195F" w:rsidP="0090195F">
      <w:pPr>
        <w:pStyle w:val="ListParagraph"/>
        <w:numPr>
          <w:ilvl w:val="0"/>
          <w:numId w:val="40"/>
        </w:numPr>
        <w:overflowPunct/>
        <w:autoSpaceDE/>
        <w:autoSpaceDN/>
        <w:adjustRightInd/>
        <w:spacing w:after="200" w:line="276" w:lineRule="auto"/>
        <w:contextualSpacing/>
        <w:jc w:val="left"/>
        <w:textAlignment w:val="auto"/>
      </w:pPr>
      <w:r>
        <w:t>test result messages; and</w:t>
      </w:r>
    </w:p>
    <w:p w14:paraId="437AB9EC" w14:textId="77777777" w:rsidR="0090195F" w:rsidRPr="008A394F" w:rsidRDefault="0090195F" w:rsidP="0090195F">
      <w:pPr>
        <w:pStyle w:val="ListParagraph"/>
        <w:numPr>
          <w:ilvl w:val="0"/>
          <w:numId w:val="40"/>
        </w:numPr>
        <w:overflowPunct/>
        <w:autoSpaceDE/>
        <w:autoSpaceDN/>
        <w:adjustRightInd/>
        <w:spacing w:after="200" w:line="276" w:lineRule="auto"/>
        <w:contextualSpacing/>
        <w:jc w:val="left"/>
        <w:textAlignment w:val="auto"/>
      </w:pPr>
      <w:r>
        <w:t>messages about changes to services.</w:t>
      </w:r>
    </w:p>
    <w:p w14:paraId="6B0915AC" w14:textId="77777777" w:rsidR="0090195F" w:rsidRDefault="0090195F" w:rsidP="00F4714E"/>
    <w:p w14:paraId="636A2160" w14:textId="77777777" w:rsidR="00F4714E" w:rsidRDefault="00F4714E" w:rsidP="00F4714E"/>
    <w:p w14:paraId="798F458D" w14:textId="77777777" w:rsidR="00F4714E" w:rsidRPr="00EB1917" w:rsidRDefault="00F4714E" w:rsidP="00EB1917">
      <w:pPr>
        <w:spacing w:before="120" w:after="120"/>
        <w:rPr>
          <w:b/>
        </w:rPr>
      </w:pPr>
      <w:r w:rsidRPr="00EB1917">
        <w:rPr>
          <w:b/>
        </w:rPr>
        <w:t>Email</w:t>
      </w:r>
    </w:p>
    <w:p w14:paraId="086C1EB9" w14:textId="77777777" w:rsidR="00F4714E" w:rsidRDefault="00F4714E" w:rsidP="00EB1917">
      <w:pPr>
        <w:spacing w:before="120" w:after="120"/>
      </w:pPr>
      <w:r w:rsidRPr="00EB1917">
        <w:rPr>
          <w:b/>
        </w:rPr>
        <w:t>General</w:t>
      </w:r>
    </w:p>
    <w:p w14:paraId="36E35348" w14:textId="6FDBC553" w:rsidR="00F4714E" w:rsidRDefault="00F4714E" w:rsidP="00F4714E">
      <w:r>
        <w:t xml:space="preserve">The Trust uses </w:t>
      </w:r>
      <w:proofErr w:type="spellStart"/>
      <w:r>
        <w:t>NHS</w:t>
      </w:r>
      <w:r w:rsidR="00912BD0">
        <w:t>M</w:t>
      </w:r>
      <w:r>
        <w:t>ail</w:t>
      </w:r>
      <w:proofErr w:type="spellEnd"/>
      <w:r w:rsidR="00912BD0">
        <w:t xml:space="preserve"> as its email system which means that a</w:t>
      </w:r>
      <w:r>
        <w:t xml:space="preserve">ll emails between NHS mail accounts are secure. </w:t>
      </w:r>
      <w:r w:rsidR="00912BD0">
        <w:t>Also, e</w:t>
      </w:r>
      <w:r>
        <w:t>mail</w:t>
      </w:r>
      <w:r w:rsidR="00912BD0">
        <w:t>s</w:t>
      </w:r>
      <w:r>
        <w:t xml:space="preserve"> sent from an </w:t>
      </w:r>
      <w:proofErr w:type="spellStart"/>
      <w:r>
        <w:t>NHS</w:t>
      </w:r>
      <w:r w:rsidR="00912BD0">
        <w:t>M</w:t>
      </w:r>
      <w:r>
        <w:t>ail</w:t>
      </w:r>
      <w:proofErr w:type="spellEnd"/>
      <w:r>
        <w:t xml:space="preserve"> email account (@nhs.net) to other email addresses which </w:t>
      </w:r>
      <w:r w:rsidR="00912BD0">
        <w:t>are government domains</w:t>
      </w:r>
      <w:r>
        <w:t xml:space="preserve"> will be encrypted and secure.</w:t>
      </w:r>
    </w:p>
    <w:p w14:paraId="49FED436" w14:textId="77777777" w:rsidR="00F4714E" w:rsidRDefault="00F4714E" w:rsidP="00912BD0">
      <w:pPr>
        <w:spacing w:before="120" w:after="120"/>
      </w:pPr>
      <w:r w:rsidRPr="00912BD0">
        <w:rPr>
          <w:b/>
        </w:rPr>
        <w:t>Content of an email</w:t>
      </w:r>
    </w:p>
    <w:p w14:paraId="501FFA67" w14:textId="77777777" w:rsidR="00F4714E" w:rsidRDefault="00F4714E" w:rsidP="00F4714E">
      <w:r>
        <w:t xml:space="preserve">When sending an email, check to make sure </w:t>
      </w:r>
      <w:r w:rsidR="00912BD0">
        <w:t xml:space="preserve">that the </w:t>
      </w:r>
      <w:r>
        <w:t xml:space="preserve">content </w:t>
      </w:r>
      <w:r w:rsidR="00912BD0">
        <w:t>and any attachments to the email are</w:t>
      </w:r>
      <w:r>
        <w:t xml:space="preserve"> accurate</w:t>
      </w:r>
      <w:r w:rsidR="00912BD0">
        <w:t xml:space="preserve"> and that it is </w:t>
      </w:r>
      <w:r>
        <w:t>only meant for that recipient</w:t>
      </w:r>
      <w:r w:rsidR="00912BD0">
        <w:t xml:space="preserve">. </w:t>
      </w:r>
      <w:r>
        <w:t>If sending an email to multiple recipients, check that any personal or sensitive data included has been consented to be shared or is subject to a justified reason to share. Any data which does not have a justified reason to share must be removed</w:t>
      </w:r>
      <w:r w:rsidR="00912BD0">
        <w:t>. Also, c</w:t>
      </w:r>
      <w:r>
        <w:t xml:space="preserve">heck </w:t>
      </w:r>
      <w:r w:rsidR="00912BD0">
        <w:t xml:space="preserve">that </w:t>
      </w:r>
      <w:r>
        <w:t xml:space="preserve">all addresses in an email if selecting </w:t>
      </w:r>
      <w:r w:rsidR="00912BD0">
        <w:t>‘</w:t>
      </w:r>
      <w:r>
        <w:t>reply all</w:t>
      </w:r>
      <w:r w:rsidR="00912BD0">
        <w:t>’</w:t>
      </w:r>
      <w:r>
        <w:t xml:space="preserve"> to ensure they are secure addresses</w:t>
      </w:r>
      <w:r w:rsidR="00912BD0">
        <w:t>.</w:t>
      </w:r>
    </w:p>
    <w:p w14:paraId="75D612A3" w14:textId="77777777" w:rsidR="00EE48C1" w:rsidRDefault="00EE48C1" w:rsidP="00F4714E"/>
    <w:p w14:paraId="3095F386" w14:textId="77777777" w:rsidR="00EE48C1" w:rsidRDefault="00EE48C1" w:rsidP="00F4714E">
      <w:r>
        <w:t xml:space="preserve">If an email is to be sent to anyone outside of the Trust who is not on the </w:t>
      </w:r>
      <w:proofErr w:type="spellStart"/>
      <w:r>
        <w:t>NHSmail</w:t>
      </w:r>
      <w:proofErr w:type="spellEnd"/>
      <w:r>
        <w:t xml:space="preserve"> system (has an email address ending in @nhs.net), it is recommended that no patient and/or staff identifiers are used in the subject line of the email.</w:t>
      </w:r>
    </w:p>
    <w:p w14:paraId="03AC1C59" w14:textId="77777777" w:rsidR="00F4714E" w:rsidRDefault="00F4714E" w:rsidP="00912BD0">
      <w:pPr>
        <w:spacing w:before="120" w:after="120"/>
      </w:pPr>
      <w:r w:rsidRPr="00912BD0">
        <w:rPr>
          <w:b/>
        </w:rPr>
        <w:t>Replying to a patient’s email</w:t>
      </w:r>
    </w:p>
    <w:p w14:paraId="7CC82C70" w14:textId="77777777" w:rsidR="00F4714E" w:rsidRDefault="00912BD0" w:rsidP="00912BD0">
      <w:pPr>
        <w:spacing w:after="120"/>
      </w:pPr>
      <w:r>
        <w:t>Corresponding with patients by email must only be done</w:t>
      </w:r>
      <w:r w:rsidR="00F4714E">
        <w:t xml:space="preserve"> in very limited circumstances. </w:t>
      </w:r>
      <w:r>
        <w:t>The following guidance must be adhered to:</w:t>
      </w:r>
    </w:p>
    <w:p w14:paraId="265DC80A" w14:textId="77777777" w:rsidR="00F4714E" w:rsidRDefault="00912BD0" w:rsidP="00912BD0">
      <w:pPr>
        <w:pStyle w:val="ListParagraph"/>
        <w:numPr>
          <w:ilvl w:val="0"/>
          <w:numId w:val="29"/>
        </w:numPr>
        <w:ind w:left="567" w:hanging="283"/>
      </w:pPr>
      <w:r>
        <w:t>Obtain</w:t>
      </w:r>
      <w:r w:rsidR="00F4714E">
        <w:t xml:space="preserve"> the patient’s full written consent </w:t>
      </w:r>
    </w:p>
    <w:p w14:paraId="76CFEB24" w14:textId="77777777" w:rsidR="00F4714E" w:rsidRDefault="00F4714E" w:rsidP="00912BD0">
      <w:pPr>
        <w:pStyle w:val="ListParagraph"/>
        <w:numPr>
          <w:ilvl w:val="0"/>
          <w:numId w:val="29"/>
        </w:numPr>
        <w:ind w:left="567" w:hanging="283"/>
      </w:pPr>
      <w:r>
        <w:t>Make sure the patient understands the risks</w:t>
      </w:r>
      <w:r w:rsidR="00CF26DC">
        <w:t xml:space="preserve"> (see below)</w:t>
      </w:r>
    </w:p>
    <w:p w14:paraId="217CB72C" w14:textId="77777777" w:rsidR="00F4714E" w:rsidRDefault="00F4714E" w:rsidP="00912BD0">
      <w:pPr>
        <w:pStyle w:val="ListParagraph"/>
        <w:numPr>
          <w:ilvl w:val="0"/>
          <w:numId w:val="29"/>
        </w:numPr>
        <w:ind w:left="567" w:hanging="283"/>
      </w:pPr>
      <w:r>
        <w:t>File a copy of this consent in the patient’s health record</w:t>
      </w:r>
    </w:p>
    <w:p w14:paraId="488BC676" w14:textId="77777777" w:rsidR="00F4714E" w:rsidRDefault="00F4714E" w:rsidP="00912BD0">
      <w:pPr>
        <w:pStyle w:val="ListParagraph"/>
        <w:numPr>
          <w:ilvl w:val="0"/>
          <w:numId w:val="29"/>
        </w:numPr>
        <w:ind w:left="567" w:hanging="283"/>
      </w:pPr>
      <w:r>
        <w:t>Use the minimum amount of information possible</w:t>
      </w:r>
    </w:p>
    <w:p w14:paraId="35496E8A" w14:textId="0DAA9704" w:rsidR="00F4714E" w:rsidRDefault="00F4714E" w:rsidP="00912BD0">
      <w:pPr>
        <w:pStyle w:val="ListParagraph"/>
        <w:numPr>
          <w:ilvl w:val="0"/>
          <w:numId w:val="29"/>
        </w:numPr>
        <w:ind w:left="567" w:hanging="283"/>
      </w:pPr>
      <w:r>
        <w:lastRenderedPageBreak/>
        <w:t>Confirm the identity of the requestor first</w:t>
      </w:r>
    </w:p>
    <w:p w14:paraId="64703D18" w14:textId="5DB52AAC" w:rsidR="002A5B0B" w:rsidRDefault="002A5B0B" w:rsidP="00912BD0">
      <w:pPr>
        <w:pStyle w:val="ListParagraph"/>
        <w:numPr>
          <w:ilvl w:val="0"/>
          <w:numId w:val="29"/>
        </w:numPr>
        <w:ind w:left="567" w:hanging="283"/>
      </w:pPr>
      <w:r>
        <w:t>Use [secure] in the subject line (see Sending a Secure Email section below)</w:t>
      </w:r>
    </w:p>
    <w:p w14:paraId="5D227D85" w14:textId="77777777" w:rsidR="00F4714E" w:rsidRDefault="00F4714E" w:rsidP="00F4714E"/>
    <w:p w14:paraId="0F364BE8" w14:textId="77777777" w:rsidR="00CF26DC" w:rsidRDefault="00CF26DC" w:rsidP="00CF26DC">
      <w:r>
        <w:t xml:space="preserve">Patients are to be advised that any information transferred out of the Trust’s network is not secure and could be intercepted by others who have access to the email account.  Their personal information could be open to access by malicious or criminal cyber products that </w:t>
      </w:r>
      <w:proofErr w:type="gramStart"/>
      <w:r>
        <w:t>have the ability to</w:t>
      </w:r>
      <w:proofErr w:type="gramEnd"/>
      <w:r>
        <w:t xml:space="preserve"> intercept emails without authority. The Trust cannot be held responsible for the security of the patient’s personal information coming into and going out of its network. </w:t>
      </w:r>
    </w:p>
    <w:p w14:paraId="310ACF09" w14:textId="77777777" w:rsidR="00CF26DC" w:rsidRDefault="00CF26DC" w:rsidP="00CF26DC"/>
    <w:p w14:paraId="06B55840" w14:textId="77777777" w:rsidR="00CF26DC" w:rsidRDefault="00CF26DC" w:rsidP="00CF26DC">
      <w:r>
        <w:t>Patients must also be advised that it is their responsibility to inform the Trust if their email address changes.</w:t>
      </w:r>
    </w:p>
    <w:p w14:paraId="760749C4" w14:textId="77777777" w:rsidR="00CF26DC" w:rsidRDefault="00CF26DC" w:rsidP="00CF26DC"/>
    <w:p w14:paraId="10A5DF17" w14:textId="77777777" w:rsidR="00CF26DC" w:rsidRDefault="00EE48C1" w:rsidP="00CF26DC">
      <w:r>
        <w:t xml:space="preserve">It is recognised that the Trust is moving forward with using email to send appointment letters and reminders to patients. </w:t>
      </w:r>
      <w:r w:rsidR="00CF26DC">
        <w:t>Any department or team etc. that is considering using email as the</w:t>
      </w:r>
      <w:r>
        <w:t>ir</w:t>
      </w:r>
      <w:r w:rsidR="00CF26DC">
        <w:t xml:space="preserve"> </w:t>
      </w:r>
      <w:r>
        <w:t>preferred</w:t>
      </w:r>
      <w:r w:rsidR="00CF26DC">
        <w:t xml:space="preserve"> method of communicating information with patients must advised the Information Governance team in order that risk assessments can be </w:t>
      </w:r>
      <w:proofErr w:type="gramStart"/>
      <w:r w:rsidR="00CF26DC">
        <w:t>made</w:t>
      </w:r>
      <w:proofErr w:type="gramEnd"/>
      <w:r w:rsidR="00CF26DC">
        <w:t xml:space="preserve"> and a process set up to be followed by the department or team.</w:t>
      </w:r>
    </w:p>
    <w:p w14:paraId="466C24A3" w14:textId="77777777" w:rsidR="00F4714E" w:rsidRDefault="00F4714E" w:rsidP="00912BD0">
      <w:pPr>
        <w:spacing w:before="120" w:after="120"/>
      </w:pPr>
      <w:r w:rsidRPr="00912BD0">
        <w:rPr>
          <w:b/>
        </w:rPr>
        <w:t>Auto forwarding/supplying alternative address</w:t>
      </w:r>
      <w:r>
        <w:t xml:space="preserve"> </w:t>
      </w:r>
    </w:p>
    <w:p w14:paraId="3DC64C4B" w14:textId="77777777" w:rsidR="00912BD0" w:rsidRDefault="00F4714E" w:rsidP="00F4714E">
      <w:r>
        <w:t xml:space="preserve">Auto forwarding </w:t>
      </w:r>
      <w:r w:rsidR="00912BD0">
        <w:t>is not used in this Trust, however, a</w:t>
      </w:r>
      <w:r>
        <w:t xml:space="preserve">s part of an out of office response you can direct people to send email messages to an alternative business email address.  </w:t>
      </w:r>
    </w:p>
    <w:p w14:paraId="7B69B33B" w14:textId="77777777" w:rsidR="00912BD0" w:rsidRDefault="00912BD0" w:rsidP="00F4714E"/>
    <w:p w14:paraId="210DE468" w14:textId="77777777" w:rsidR="00F4714E" w:rsidRDefault="00912BD0" w:rsidP="00F4714E">
      <w:r>
        <w:t xml:space="preserve">The </w:t>
      </w:r>
      <w:proofErr w:type="spellStart"/>
      <w:r>
        <w:t>NHSMail</w:t>
      </w:r>
      <w:proofErr w:type="spellEnd"/>
      <w:r>
        <w:t xml:space="preserve"> system is to be used solely for</w:t>
      </w:r>
      <w:r w:rsidR="00F4714E">
        <w:t xml:space="preserve"> work</w:t>
      </w:r>
      <w:r>
        <w:t xml:space="preserve">-related activities, in accordance with the </w:t>
      </w:r>
      <w:proofErr w:type="spellStart"/>
      <w:r>
        <w:t>NHSMail</w:t>
      </w:r>
      <w:proofErr w:type="spellEnd"/>
      <w:r>
        <w:t xml:space="preserve"> Acceptable Use Policy (</w:t>
      </w:r>
      <w:r w:rsidRPr="00E07413">
        <w:t xml:space="preserve">Ref </w:t>
      </w:r>
      <w:r w:rsidR="004D31AB">
        <w:t>30</w:t>
      </w:r>
      <w:r w:rsidRPr="00E07413">
        <w:t>)</w:t>
      </w:r>
    </w:p>
    <w:p w14:paraId="2D003AEE" w14:textId="77777777" w:rsidR="00912BD0" w:rsidRDefault="00912BD0" w:rsidP="00F4714E"/>
    <w:p w14:paraId="7CE18B6F" w14:textId="77777777" w:rsidR="00F4714E" w:rsidRDefault="00F4714E" w:rsidP="00F4714E">
      <w:r>
        <w:t>It is strictly prohibited to use personal email addresses (@gmail.com, @hotmail.com, @doctors.org.uk, etc.) for Trust business as they are insecure.  As such these must not be placed in out of office responses or to set up auto-forwarding to these accounts.</w:t>
      </w:r>
    </w:p>
    <w:p w14:paraId="73AF0C65" w14:textId="77777777" w:rsidR="00F4714E" w:rsidRDefault="00F4714E" w:rsidP="00F4714E"/>
    <w:p w14:paraId="1D7B6E43" w14:textId="77777777" w:rsidR="00F4714E" w:rsidRPr="00912BD0" w:rsidRDefault="00912BD0" w:rsidP="00912BD0">
      <w:pPr>
        <w:spacing w:before="120" w:after="120"/>
        <w:rPr>
          <w:b/>
        </w:rPr>
      </w:pPr>
      <w:r>
        <w:rPr>
          <w:b/>
        </w:rPr>
        <w:t>Allowing</w:t>
      </w:r>
      <w:r w:rsidR="00F4714E" w:rsidRPr="00912BD0">
        <w:rPr>
          <w:b/>
        </w:rPr>
        <w:t xml:space="preserve"> someone else access to your emails</w:t>
      </w:r>
    </w:p>
    <w:p w14:paraId="2341C5A7" w14:textId="6AFC87BA" w:rsidR="00F4714E" w:rsidRDefault="00F4714E" w:rsidP="00F4714E">
      <w:r>
        <w:t>To allow another member of staff to access your emails you must set up appropriate delegate permissions.</w:t>
      </w:r>
      <w:r w:rsidR="00912BD0">
        <w:t xml:space="preserve"> Employees</w:t>
      </w:r>
      <w:r>
        <w:t xml:space="preserve"> must never share their usernames and passwords with anyone.  For assistance with configuring delegate access, please contact the IT Service Desk.</w:t>
      </w:r>
    </w:p>
    <w:p w14:paraId="74EFCA2D" w14:textId="2E2C17DC" w:rsidR="001C3D0B" w:rsidRDefault="001C3D0B" w:rsidP="00F4714E"/>
    <w:p w14:paraId="6C9C21F8" w14:textId="47AC9275" w:rsidR="001C3D0B" w:rsidRPr="00AF5C26" w:rsidRDefault="002A5B0B" w:rsidP="00AF5C26">
      <w:pPr>
        <w:spacing w:before="120" w:after="120"/>
        <w:rPr>
          <w:b/>
        </w:rPr>
      </w:pPr>
      <w:r>
        <w:rPr>
          <w:b/>
        </w:rPr>
        <w:t>Sending</w:t>
      </w:r>
      <w:r w:rsidR="001C3D0B" w:rsidRPr="00AF5C26">
        <w:rPr>
          <w:b/>
        </w:rPr>
        <w:t xml:space="preserve"> a ‘Secure’ Email</w:t>
      </w:r>
    </w:p>
    <w:p w14:paraId="632C1D89" w14:textId="2E7603A3" w:rsidR="001C3D0B" w:rsidRDefault="001C3D0B" w:rsidP="00F4714E"/>
    <w:p w14:paraId="00764927" w14:textId="2213DE4E" w:rsidR="001C3D0B" w:rsidRDefault="001C3D0B" w:rsidP="00F4714E">
      <w:proofErr w:type="spellStart"/>
      <w:r>
        <w:t>NHSmail</w:t>
      </w:r>
      <w:proofErr w:type="spellEnd"/>
      <w:r>
        <w:t xml:space="preserve"> provides an option to encrypt the email to organisations </w:t>
      </w:r>
      <w:r w:rsidR="002A5B0B">
        <w:t xml:space="preserve">or people </w:t>
      </w:r>
      <w:r>
        <w:t xml:space="preserve">outside of the </w:t>
      </w:r>
      <w:proofErr w:type="spellStart"/>
      <w:r>
        <w:t>NHSmail</w:t>
      </w:r>
      <w:proofErr w:type="spellEnd"/>
      <w:r>
        <w:t xml:space="preserve"> network. </w:t>
      </w:r>
      <w:r w:rsidR="002A5B0B">
        <w:t>Some users may have this on their Outlook client. If not, t</w:t>
      </w:r>
      <w:r>
        <w:t>o do this use [secure] as the first words in the subject line, for example:</w:t>
      </w:r>
    </w:p>
    <w:p w14:paraId="64FD77C7" w14:textId="6AE90CBE" w:rsidR="001C3D0B" w:rsidRDefault="001C3D0B" w:rsidP="00F4714E"/>
    <w:p w14:paraId="099AD41B" w14:textId="4A8472A8" w:rsidR="001C3D0B" w:rsidRDefault="001C3D0B" w:rsidP="00F4714E">
      <w:r>
        <w:t xml:space="preserve">To: </w:t>
      </w:r>
      <w:hyperlink r:id="rId40" w:history="1">
        <w:r w:rsidRPr="00A643CA">
          <w:rPr>
            <w:rStyle w:val="Hyperlink"/>
          </w:rPr>
          <w:t>gwh.info.gov@nhs.net</w:t>
        </w:r>
      </w:hyperlink>
    </w:p>
    <w:p w14:paraId="66066C6A" w14:textId="5B566C13" w:rsidR="001C3D0B" w:rsidRDefault="001C3D0B" w:rsidP="00F4714E">
      <w:r>
        <w:t>Subject: [secure] Staff audit report</w:t>
      </w:r>
    </w:p>
    <w:p w14:paraId="1D7D0200" w14:textId="5FC27F75" w:rsidR="001C3D0B" w:rsidRDefault="001C3D0B" w:rsidP="00F4714E"/>
    <w:p w14:paraId="43A093F4" w14:textId="0A32FD00" w:rsidR="001C3D0B" w:rsidRDefault="001C3D0B" w:rsidP="00F4714E">
      <w:r>
        <w:t xml:space="preserve">Note, this should only be used to enhance security and should not be relied on as the only method to protect information. See the NHS Digital guidance for more information: </w:t>
      </w:r>
      <w:hyperlink r:id="rId41" w:history="1">
        <w:r w:rsidRPr="00A643CA">
          <w:rPr>
            <w:rStyle w:val="Hyperlink"/>
          </w:rPr>
          <w:t>https://digital.nhs.uk/services/nhsmail/guidance-for-sending-secure-email</w:t>
        </w:r>
      </w:hyperlink>
      <w:r>
        <w:t xml:space="preserve">. </w:t>
      </w:r>
    </w:p>
    <w:p w14:paraId="6120ADC8" w14:textId="3DB7C81E" w:rsidR="002A5B0B" w:rsidRDefault="002A5B0B" w:rsidP="00F4714E"/>
    <w:p w14:paraId="4E850768" w14:textId="143B4FAA" w:rsidR="002A5B0B" w:rsidRPr="00AF5C26" w:rsidRDefault="002A5B0B" w:rsidP="00AF5C26">
      <w:pPr>
        <w:spacing w:before="120" w:after="120"/>
        <w:rPr>
          <w:b/>
        </w:rPr>
      </w:pPr>
      <w:r w:rsidRPr="00AF5C26">
        <w:rPr>
          <w:b/>
        </w:rPr>
        <w:t>Sending Large Files</w:t>
      </w:r>
    </w:p>
    <w:p w14:paraId="426BE567" w14:textId="404C868C" w:rsidR="002A5B0B" w:rsidRDefault="002A5B0B" w:rsidP="00F4714E"/>
    <w:p w14:paraId="344B26EB" w14:textId="5D2E06F9" w:rsidR="002A5B0B" w:rsidRDefault="002A5B0B" w:rsidP="00F4714E">
      <w:pPr>
        <w:rPr>
          <w:rFonts w:ascii="Helvetica" w:hAnsi="Helvetica" w:cs="Helvetica"/>
          <w:color w:val="006621"/>
          <w:shd w:val="clear" w:color="auto" w:fill="FFFFFF"/>
        </w:rPr>
      </w:pPr>
      <w:r>
        <w:lastRenderedPageBreak/>
        <w:t xml:space="preserve">Egress, the </w:t>
      </w:r>
      <w:proofErr w:type="spellStart"/>
      <w:r w:rsidRPr="009D1E16">
        <w:t>NHSmail</w:t>
      </w:r>
      <w:proofErr w:type="spellEnd"/>
      <w:r>
        <w:t xml:space="preserve"> supplier, ha</w:t>
      </w:r>
      <w:r w:rsidR="009D1E16">
        <w:t>s</w:t>
      </w:r>
      <w:r>
        <w:t xml:space="preserve"> produced a large file transfer system for </w:t>
      </w:r>
      <w:proofErr w:type="spellStart"/>
      <w:r>
        <w:t>NHSmail</w:t>
      </w:r>
      <w:proofErr w:type="spellEnd"/>
      <w:r>
        <w:t xml:space="preserve">. Some users may have this option on their Outlook client. If not, then go to: </w:t>
      </w:r>
      <w:hyperlink r:id="rId42" w:history="1">
        <w:r w:rsidRPr="00A643CA">
          <w:rPr>
            <w:rStyle w:val="Hyperlink"/>
            <w:rFonts w:ascii="Helvetica" w:hAnsi="Helvetica" w:cs="Helvetica"/>
            <w:shd w:val="clear" w:color="auto" w:fill="FFFFFF"/>
          </w:rPr>
          <w:t>https://lft.nhs.net</w:t>
        </w:r>
      </w:hyperlink>
      <w:r>
        <w:rPr>
          <w:rFonts w:ascii="Helvetica" w:hAnsi="Helvetica" w:cs="Helvetica"/>
          <w:color w:val="006621"/>
          <w:shd w:val="clear" w:color="auto" w:fill="FFFFFF"/>
        </w:rPr>
        <w:t xml:space="preserve">. The Egress login details are the same as your </w:t>
      </w:r>
      <w:proofErr w:type="spellStart"/>
      <w:r>
        <w:rPr>
          <w:rFonts w:ascii="Helvetica" w:hAnsi="Helvetica" w:cs="Helvetica"/>
          <w:color w:val="006621"/>
          <w:shd w:val="clear" w:color="auto" w:fill="FFFFFF"/>
        </w:rPr>
        <w:t>NHSmail</w:t>
      </w:r>
      <w:proofErr w:type="spellEnd"/>
      <w:r>
        <w:rPr>
          <w:rFonts w:ascii="Helvetica" w:hAnsi="Helvetica" w:cs="Helvetica"/>
          <w:color w:val="006621"/>
          <w:shd w:val="clear" w:color="auto" w:fill="FFFFFF"/>
        </w:rPr>
        <w:t xml:space="preserve"> credentials. </w:t>
      </w:r>
    </w:p>
    <w:p w14:paraId="7EF270E2" w14:textId="77777777" w:rsidR="002A5B0B" w:rsidRDefault="002A5B0B" w:rsidP="00F4714E">
      <w:pPr>
        <w:rPr>
          <w:rFonts w:ascii="Helvetica" w:hAnsi="Helvetica" w:cs="Helvetica"/>
          <w:color w:val="006621"/>
          <w:shd w:val="clear" w:color="auto" w:fill="FFFFFF"/>
        </w:rPr>
      </w:pPr>
    </w:p>
    <w:p w14:paraId="52D27270" w14:textId="49CE682E" w:rsidR="002A5B0B" w:rsidRDefault="002A5B0B" w:rsidP="00F4714E">
      <w:r>
        <w:rPr>
          <w:rFonts w:ascii="Helvetica" w:hAnsi="Helvetica" w:cs="Helvetica"/>
          <w:color w:val="006621"/>
          <w:shd w:val="clear" w:color="auto" w:fill="FFFFFF"/>
        </w:rPr>
        <w:t xml:space="preserve">This service will require the </w:t>
      </w:r>
      <w:r w:rsidR="009D1E16">
        <w:rPr>
          <w:rFonts w:ascii="Helvetica" w:hAnsi="Helvetica" w:cs="Helvetica"/>
          <w:color w:val="006621"/>
          <w:shd w:val="clear" w:color="auto" w:fill="FFFFFF"/>
        </w:rPr>
        <w:t>recipient</w:t>
      </w:r>
      <w:r>
        <w:rPr>
          <w:rFonts w:ascii="Helvetica" w:hAnsi="Helvetica" w:cs="Helvetica"/>
          <w:color w:val="006621"/>
          <w:shd w:val="clear" w:color="auto" w:fill="FFFFFF"/>
        </w:rPr>
        <w:t xml:space="preserve"> to create an account with Egress once they have received the </w:t>
      </w:r>
      <w:r w:rsidR="009D1E16">
        <w:rPr>
          <w:rFonts w:ascii="Helvetica" w:hAnsi="Helvetica" w:cs="Helvetica"/>
          <w:color w:val="006621"/>
          <w:shd w:val="clear" w:color="auto" w:fill="FFFFFF"/>
        </w:rPr>
        <w:t xml:space="preserve">email informing them that the </w:t>
      </w:r>
      <w:r>
        <w:rPr>
          <w:rFonts w:ascii="Helvetica" w:hAnsi="Helvetica" w:cs="Helvetica"/>
          <w:color w:val="006621"/>
          <w:shd w:val="clear" w:color="auto" w:fill="FFFFFF"/>
        </w:rPr>
        <w:t>large file</w:t>
      </w:r>
      <w:r w:rsidR="009D1E16">
        <w:rPr>
          <w:rFonts w:ascii="Helvetica" w:hAnsi="Helvetica" w:cs="Helvetica"/>
          <w:color w:val="006621"/>
          <w:shd w:val="clear" w:color="auto" w:fill="FFFFFF"/>
        </w:rPr>
        <w:t>(s) are available to download</w:t>
      </w:r>
      <w:r>
        <w:rPr>
          <w:rFonts w:ascii="Helvetica" w:hAnsi="Helvetica" w:cs="Helvetica"/>
          <w:color w:val="006621"/>
          <w:shd w:val="clear" w:color="auto" w:fill="FFFFFF"/>
        </w:rPr>
        <w:t xml:space="preserve">.  </w:t>
      </w:r>
      <w:r>
        <w:t xml:space="preserve"> </w:t>
      </w:r>
    </w:p>
    <w:p w14:paraId="28C61AC2" w14:textId="77777777" w:rsidR="009D3BCD" w:rsidRDefault="009D3BCD" w:rsidP="00F4714E"/>
    <w:p w14:paraId="2D484BD2" w14:textId="77777777" w:rsidR="00F4714E" w:rsidRDefault="00F4714E" w:rsidP="00F4714E"/>
    <w:p w14:paraId="61253B4B" w14:textId="52FD51CD" w:rsidR="009D3BCD" w:rsidRDefault="009D3BCD" w:rsidP="00912BD0">
      <w:pPr>
        <w:spacing w:before="120" w:after="120"/>
        <w:rPr>
          <w:b/>
        </w:rPr>
      </w:pPr>
      <w:r>
        <w:rPr>
          <w:b/>
        </w:rPr>
        <w:t>Video Consultations</w:t>
      </w:r>
    </w:p>
    <w:p w14:paraId="20D2A4D5" w14:textId="1CD54638" w:rsidR="009D3BCD" w:rsidRPr="009D3BCD" w:rsidRDefault="009D3BCD" w:rsidP="009D3BCD">
      <w:pPr>
        <w:spacing w:before="120" w:after="120"/>
        <w:rPr>
          <w:b/>
        </w:rPr>
      </w:pPr>
      <w:r w:rsidRPr="009D3BCD">
        <w:rPr>
          <w:b/>
        </w:rPr>
        <w:t>Arranging Calls</w:t>
      </w:r>
    </w:p>
    <w:p w14:paraId="42CF780C" w14:textId="340352F9" w:rsidR="00F1535E" w:rsidRDefault="009D1E16" w:rsidP="009D3BCD">
      <w:r>
        <w:t>A</w:t>
      </w:r>
      <w:r w:rsidR="009D3BCD">
        <w:t xml:space="preserve"> video consultation with a patient, must be </w:t>
      </w:r>
      <w:r>
        <w:t>carried out</w:t>
      </w:r>
      <w:r w:rsidR="009D3BCD">
        <w:t xml:space="preserve"> using one of the a</w:t>
      </w:r>
      <w:r w:rsidR="009D3BCD" w:rsidRPr="00AF5C26">
        <w:t>pproved system</w:t>
      </w:r>
      <w:r w:rsidR="009D3BCD">
        <w:t>s in place at the Trust. When arranging a video consultation</w:t>
      </w:r>
      <w:r>
        <w:t>,</w:t>
      </w:r>
      <w:r w:rsidR="009D3BCD">
        <w:t xml:space="preserve"> a new</w:t>
      </w:r>
      <w:r w:rsidR="009D3BCD" w:rsidRPr="00AF5C26">
        <w:t xml:space="preserve"> link</w:t>
      </w:r>
      <w:r w:rsidR="009D3BCD">
        <w:t xml:space="preserve"> must be used for every meeting. If links are </w:t>
      </w:r>
      <w:proofErr w:type="gramStart"/>
      <w:r w:rsidR="009D3BCD">
        <w:t>reused</w:t>
      </w:r>
      <w:proofErr w:type="gramEnd"/>
      <w:r w:rsidR="009D3BCD">
        <w:t xml:space="preserve"> then this increases the risk of the meetings being attended/interrupted by unintended guests. </w:t>
      </w:r>
      <w:r w:rsidR="00F1535E">
        <w:t xml:space="preserve">This is especially important if meeting links are sent to multiple recipients. </w:t>
      </w:r>
    </w:p>
    <w:p w14:paraId="073955A9" w14:textId="71F1B062" w:rsidR="009D3BCD" w:rsidRPr="00AF5C26" w:rsidRDefault="009D3BCD" w:rsidP="00AF5C26"/>
    <w:p w14:paraId="5B3810B2" w14:textId="3AF33F5D" w:rsidR="009D3BCD" w:rsidRDefault="009D3BCD" w:rsidP="00912BD0">
      <w:pPr>
        <w:spacing w:before="120" w:after="120"/>
        <w:rPr>
          <w:b/>
        </w:rPr>
      </w:pPr>
      <w:r>
        <w:rPr>
          <w:b/>
        </w:rPr>
        <w:t>Location</w:t>
      </w:r>
    </w:p>
    <w:p w14:paraId="3F6F145F" w14:textId="0923C77C" w:rsidR="009D3BCD" w:rsidRDefault="00F1535E" w:rsidP="009D3BCD">
      <w:r>
        <w:t>The video consultation must be held in a p</w:t>
      </w:r>
      <w:r w:rsidR="009D3BCD">
        <w:t>rivate</w:t>
      </w:r>
      <w:r>
        <w:t xml:space="preserve"> location to the same standards as a </w:t>
      </w:r>
      <w:r w:rsidR="009D1E16">
        <w:t>face-to-face</w:t>
      </w:r>
      <w:r>
        <w:t xml:space="preserve"> appointment. The room must be private</w:t>
      </w:r>
      <w:r w:rsidR="009D1E16">
        <w:t>, t</w:t>
      </w:r>
      <w:r>
        <w:t>he door must be closed</w:t>
      </w:r>
      <w:r w:rsidR="009D1E16">
        <w:t xml:space="preserve"> and t</w:t>
      </w:r>
      <w:r>
        <w:t xml:space="preserve">here must be </w:t>
      </w:r>
      <w:r w:rsidR="009D1E16">
        <w:t>no</w:t>
      </w:r>
      <w:r>
        <w:t xml:space="preserve"> other people in the room, unless they are part of the team that are conducting the call. The room must allow for privacy of conversations and staff must be aware of who may be able to overhear conversations, </w:t>
      </w:r>
      <w:r w:rsidR="009D1E16">
        <w:t>as per</w:t>
      </w:r>
      <w:r>
        <w:t xml:space="preserve"> face-to-face </w:t>
      </w:r>
      <w:r w:rsidR="009D1E16">
        <w:t>consultations</w:t>
      </w:r>
      <w:r>
        <w:t>. If the conversation can be overheard</w:t>
      </w:r>
      <w:r w:rsidR="009D1E16">
        <w:t>,</w:t>
      </w:r>
      <w:r>
        <w:t xml:space="preserve"> then that location must not be used. In addition, it is advisable that notes are available during the consultation in either electronic or hard-copy</w:t>
      </w:r>
      <w:r w:rsidR="009D1E16">
        <w:t xml:space="preserve"> format</w:t>
      </w:r>
      <w:r>
        <w:t>; therefore, the location must be secure so that these notes cannot be seen, stolen, viewed, or access</w:t>
      </w:r>
      <w:r w:rsidR="009D1E16">
        <w:t>ed</w:t>
      </w:r>
      <w:r>
        <w:t xml:space="preserve"> by anyone else. </w:t>
      </w:r>
    </w:p>
    <w:p w14:paraId="462F5046" w14:textId="418EC739" w:rsidR="00F1535E" w:rsidRDefault="00F1535E" w:rsidP="009D3BCD"/>
    <w:p w14:paraId="1D7DBE62" w14:textId="6C53B534" w:rsidR="00F1535E" w:rsidRPr="00AF5C26" w:rsidRDefault="00F1535E" w:rsidP="00AF5C26">
      <w:pPr>
        <w:spacing w:before="120" w:after="120"/>
        <w:rPr>
          <w:b/>
        </w:rPr>
      </w:pPr>
      <w:r w:rsidRPr="00AF5C26">
        <w:rPr>
          <w:b/>
        </w:rPr>
        <w:t>Conducting the Call</w:t>
      </w:r>
    </w:p>
    <w:p w14:paraId="403783DE" w14:textId="044EB6A3" w:rsidR="00F1535E" w:rsidRDefault="00F1535E" w:rsidP="00F1535E">
      <w:r>
        <w:t>During the call, the clinician must act as if the consultation was face-to-face. This means that there must be a</w:t>
      </w:r>
      <w:r w:rsidR="009D1E16">
        <w:t xml:space="preserve"> positive identity</w:t>
      </w:r>
      <w:r>
        <w:t xml:space="preserve"> c</w:t>
      </w:r>
      <w:r w:rsidRPr="0091104C">
        <w:t xml:space="preserve">heck of </w:t>
      </w:r>
      <w:r w:rsidR="009D1E16">
        <w:t>the patient</w:t>
      </w:r>
      <w:r>
        <w:t xml:space="preserve"> and there must be an adequate way to conduct the consultation remotely. If the consultation cannot provide the right level of assurance, for example, because the patient cannot be examined efficiently, or because the patient ha</w:t>
      </w:r>
      <w:r w:rsidR="009D1E16">
        <w:t>s</w:t>
      </w:r>
      <w:r>
        <w:t xml:space="preserve"> someone else with them and there is a safeguarding concern, then the appointment must be rearranged as a face-to-face consultation. </w:t>
      </w:r>
    </w:p>
    <w:p w14:paraId="561FB01A" w14:textId="3EBEFE88" w:rsidR="00F1535E" w:rsidRPr="0091104C" w:rsidRDefault="00F1535E" w:rsidP="00F1535E">
      <w:r>
        <w:t xml:space="preserve"> </w:t>
      </w:r>
    </w:p>
    <w:p w14:paraId="18B3B761" w14:textId="62862ADB" w:rsidR="00F1535E" w:rsidRDefault="00F1535E" w:rsidP="00F1535E">
      <w:r>
        <w:t>There is g</w:t>
      </w:r>
      <w:r w:rsidRPr="0091104C">
        <w:t>uidance o</w:t>
      </w:r>
      <w:r>
        <w:t xml:space="preserve">n the IG </w:t>
      </w:r>
      <w:r w:rsidRPr="0091104C">
        <w:t>intranet</w:t>
      </w:r>
      <w:r>
        <w:t xml:space="preserve"> pages on how to conduct video consultations. </w:t>
      </w:r>
    </w:p>
    <w:p w14:paraId="5026FFFB" w14:textId="0A163489" w:rsidR="00EE3DFF" w:rsidRDefault="00EE3DFF" w:rsidP="00F1535E"/>
    <w:p w14:paraId="10EA2997" w14:textId="62FA0057" w:rsidR="00EE3DFF" w:rsidRDefault="00EE3DFF" w:rsidP="00F1535E"/>
    <w:p w14:paraId="71FFED80" w14:textId="77777777" w:rsidR="009011CB" w:rsidRPr="00AF5C26" w:rsidRDefault="009011CB" w:rsidP="00AF5C26">
      <w:pPr>
        <w:spacing w:before="120" w:after="120"/>
        <w:rPr>
          <w:b/>
        </w:rPr>
      </w:pPr>
      <w:r w:rsidRPr="00AF5C26">
        <w:rPr>
          <w:b/>
        </w:rPr>
        <w:t>Collaboration Tools</w:t>
      </w:r>
    </w:p>
    <w:p w14:paraId="0226A6B2" w14:textId="77777777" w:rsidR="009011CB" w:rsidRDefault="009011CB" w:rsidP="00F1535E"/>
    <w:p w14:paraId="4C9E81D4" w14:textId="44214BDE" w:rsidR="009011CB" w:rsidRDefault="009011CB" w:rsidP="00F1535E">
      <w:r>
        <w:t xml:space="preserve">The Trust </w:t>
      </w:r>
      <w:r w:rsidR="009D1E16">
        <w:t>supports</w:t>
      </w:r>
      <w:r>
        <w:t xml:space="preserve"> the use of online collaboration tools to improve efficient working between teams that are working remotely, or between external organisations. However, </w:t>
      </w:r>
      <w:proofErr w:type="gramStart"/>
      <w:r>
        <w:t>in order to</w:t>
      </w:r>
      <w:proofErr w:type="gramEnd"/>
      <w:r>
        <w:t xml:space="preserve"> use these tools then the following steps must be taken:</w:t>
      </w:r>
    </w:p>
    <w:p w14:paraId="2BEBE22C" w14:textId="2DA345E6" w:rsidR="008326A9" w:rsidRDefault="009011CB" w:rsidP="009011CB">
      <w:pPr>
        <w:pStyle w:val="ListParagraph"/>
        <w:numPr>
          <w:ilvl w:val="0"/>
          <w:numId w:val="41"/>
        </w:numPr>
      </w:pPr>
      <w:r>
        <w:t>Check if there are any Trust-approved tools which can provide the service you need (the Trust publishes approved DPIAs on the website) or you can contact the IG team for further information</w:t>
      </w:r>
    </w:p>
    <w:p w14:paraId="6BBD4AA4" w14:textId="4FE0C22A" w:rsidR="009011CB" w:rsidRDefault="009011CB" w:rsidP="009011CB">
      <w:pPr>
        <w:pStyle w:val="ListParagraph"/>
        <w:numPr>
          <w:ilvl w:val="0"/>
          <w:numId w:val="41"/>
        </w:numPr>
      </w:pPr>
      <w:r>
        <w:t>If a new tool is being used, then a DPIA must be completed</w:t>
      </w:r>
    </w:p>
    <w:p w14:paraId="7C85AED4" w14:textId="3A0B5033" w:rsidR="009011CB" w:rsidRDefault="009011CB" w:rsidP="009011CB">
      <w:pPr>
        <w:pStyle w:val="ListParagraph"/>
        <w:numPr>
          <w:ilvl w:val="0"/>
          <w:numId w:val="41"/>
        </w:numPr>
      </w:pPr>
      <w:r>
        <w:t>Liaise with both the IG and IT teams to determine whether there is any risk to data or technical specifications that need to be implemented</w:t>
      </w:r>
    </w:p>
    <w:p w14:paraId="5F1080A7" w14:textId="4CB97CE8" w:rsidR="009011CB" w:rsidRDefault="009011CB" w:rsidP="00AF5C26">
      <w:pPr>
        <w:pStyle w:val="ListParagraph"/>
        <w:numPr>
          <w:ilvl w:val="0"/>
          <w:numId w:val="41"/>
        </w:numPr>
      </w:pPr>
      <w:r>
        <w:t>Agree to any terms and conditions of use, if applicable</w:t>
      </w:r>
    </w:p>
    <w:p w14:paraId="09C4EE63" w14:textId="77777777" w:rsidR="008326A9" w:rsidRDefault="008326A9" w:rsidP="00F1535E"/>
    <w:p w14:paraId="24C55224" w14:textId="215C73C5" w:rsidR="00EE3DFF" w:rsidRDefault="00EE3DFF" w:rsidP="00EE3DFF">
      <w:pPr>
        <w:spacing w:before="120" w:after="120"/>
        <w:rPr>
          <w:b/>
        </w:rPr>
      </w:pPr>
      <w:r>
        <w:rPr>
          <w:b/>
        </w:rPr>
        <w:t>N365</w:t>
      </w:r>
    </w:p>
    <w:p w14:paraId="40ED00C0" w14:textId="01DFA2B0" w:rsidR="00EE3DFF" w:rsidRDefault="00EE3DFF" w:rsidP="00EE3DFF">
      <w:pPr>
        <w:spacing w:before="120" w:after="120"/>
        <w:rPr>
          <w:b/>
        </w:rPr>
      </w:pPr>
      <w:r>
        <w:rPr>
          <w:b/>
        </w:rPr>
        <w:t>MS Teams</w:t>
      </w:r>
    </w:p>
    <w:p w14:paraId="119F074C" w14:textId="26C1B4E6" w:rsidR="000701DD" w:rsidRPr="00AF5C26" w:rsidRDefault="000701DD">
      <w:pPr>
        <w:rPr>
          <w:u w:val="single"/>
        </w:rPr>
      </w:pPr>
      <w:r w:rsidRPr="00AF5C26">
        <w:rPr>
          <w:u w:val="single"/>
        </w:rPr>
        <w:t>General</w:t>
      </w:r>
    </w:p>
    <w:p w14:paraId="5ECF57AA" w14:textId="6CCF4C62" w:rsidR="000701DD" w:rsidRDefault="000701DD" w:rsidP="000701DD">
      <w:r>
        <w:t xml:space="preserve">Be aware of your surroundings; and </w:t>
      </w:r>
      <w:proofErr w:type="gramStart"/>
      <w:r>
        <w:t>in particular pay</w:t>
      </w:r>
      <w:proofErr w:type="gramEnd"/>
      <w:r>
        <w:t xml:space="preserve"> attention to what can be seen</w:t>
      </w:r>
      <w:r w:rsidR="003277A6">
        <w:t xml:space="preserve"> </w:t>
      </w:r>
      <w:r>
        <w:t xml:space="preserve">behind you. If you are working from home, move to a private location where the screen cannot be </w:t>
      </w:r>
      <w:proofErr w:type="gramStart"/>
      <w:r>
        <w:t>seen</w:t>
      </w:r>
      <w:proofErr w:type="gramEnd"/>
      <w:r>
        <w:t xml:space="preserve"> or the conversation overheard. Whether you are within the Trust, or working remotely, use backgrounds within Teams, such as the Trust-approved backgrounds available on the Intranet to download. In addition, wherever possible but within reason, use a headset to keep discussions confidential, take calls in a separate room with the door closed and close exterior doors or windows. </w:t>
      </w:r>
    </w:p>
    <w:p w14:paraId="1839B4CC" w14:textId="77777777" w:rsidR="000701DD" w:rsidRDefault="000701DD" w:rsidP="000701DD"/>
    <w:p w14:paraId="7045A4E8" w14:textId="4C685B8A" w:rsidR="000701DD" w:rsidRDefault="000701DD" w:rsidP="000701DD">
      <w:r>
        <w:t xml:space="preserve">Teams and Channels can be created for organisations by NHS Mail Local Administrators. </w:t>
      </w:r>
      <w:r w:rsidR="003277A6">
        <w:t xml:space="preserve">These are useful to work collaboratively and to share documentation or support discussions between the relevant parties. </w:t>
      </w:r>
      <w:r>
        <w:t>Only users with an nhs.net or other NHS accredited email account can be added to a</w:t>
      </w:r>
      <w:r w:rsidR="003277A6">
        <w:t xml:space="preserve"> </w:t>
      </w:r>
      <w:r>
        <w:t xml:space="preserve">team. The Team admin user </w:t>
      </w:r>
      <w:r w:rsidR="003277A6">
        <w:t xml:space="preserve">should </w:t>
      </w:r>
      <w:r>
        <w:t>restrict membership to each channel</w:t>
      </w:r>
      <w:r w:rsidR="003277A6">
        <w:t xml:space="preserve"> to protect any </w:t>
      </w:r>
      <w:r>
        <w:t xml:space="preserve">sensitive information which should not be shared with </w:t>
      </w:r>
      <w:r w:rsidR="003277A6">
        <w:t>a</w:t>
      </w:r>
      <w:r>
        <w:t xml:space="preserve"> wider</w:t>
      </w:r>
      <w:r w:rsidR="003277A6">
        <w:t xml:space="preserve"> </w:t>
      </w:r>
      <w:r>
        <w:t>membership.</w:t>
      </w:r>
      <w:r w:rsidR="003277A6">
        <w:t xml:space="preserve"> The Teams Channels should never be used as the primary storage </w:t>
      </w:r>
      <w:r>
        <w:t>location</w:t>
      </w:r>
      <w:r w:rsidR="003277A6">
        <w:t xml:space="preserve"> </w:t>
      </w:r>
      <w:r w:rsidR="009D1E16">
        <w:t>as</w:t>
      </w:r>
      <w:r w:rsidR="003277A6">
        <w:t xml:space="preserve"> data </w:t>
      </w:r>
      <w:r w:rsidR="009D1E16">
        <w:t xml:space="preserve">held in MS Teams </w:t>
      </w:r>
      <w:r w:rsidR="003277A6">
        <w:t xml:space="preserve">is not backed-up or recoverable. </w:t>
      </w:r>
    </w:p>
    <w:p w14:paraId="7E538A60" w14:textId="65F081B4" w:rsidR="000701DD" w:rsidRDefault="000701DD"/>
    <w:p w14:paraId="56ACC7E8" w14:textId="2D198868" w:rsidR="000701DD" w:rsidRPr="00AF5C26" w:rsidRDefault="000701DD">
      <w:pPr>
        <w:rPr>
          <w:u w:val="single"/>
        </w:rPr>
      </w:pPr>
      <w:r w:rsidRPr="00AF5C26">
        <w:rPr>
          <w:u w:val="single"/>
        </w:rPr>
        <w:t>Meetings</w:t>
      </w:r>
    </w:p>
    <w:p w14:paraId="1D4950D8" w14:textId="5A8C9971" w:rsidR="000701DD" w:rsidRDefault="00EE3DFF" w:rsidP="003277A6">
      <w:r>
        <w:t xml:space="preserve">Do not reuse Teams links due to </w:t>
      </w:r>
      <w:r w:rsidR="003277A6">
        <w:t xml:space="preserve">the </w:t>
      </w:r>
      <w:r>
        <w:t>chat and files</w:t>
      </w:r>
      <w:r w:rsidR="003277A6">
        <w:t xml:space="preserve"> being continuously available. There is also a risk that any guests or one-off invitees to a </w:t>
      </w:r>
      <w:r w:rsidR="000701DD">
        <w:t xml:space="preserve">recurring meeting (even if they only join once) will have full access to the chat </w:t>
      </w:r>
      <w:r w:rsidR="009D1E16">
        <w:t>during</w:t>
      </w:r>
      <w:r w:rsidR="003277A6">
        <w:t xml:space="preserve"> </w:t>
      </w:r>
      <w:r w:rsidR="000701DD">
        <w:t>that meeting</w:t>
      </w:r>
      <w:r w:rsidR="003277A6">
        <w:t xml:space="preserve"> and afterwards</w:t>
      </w:r>
      <w:r w:rsidR="000701DD">
        <w:t>. You should</w:t>
      </w:r>
      <w:r w:rsidR="003277A6">
        <w:t xml:space="preserve"> always </w:t>
      </w:r>
      <w:r w:rsidR="000701DD">
        <w:t>set up non-re</w:t>
      </w:r>
      <w:r w:rsidR="003277A6">
        <w:t>o</w:t>
      </w:r>
      <w:r w:rsidR="000701DD">
        <w:t>ccurring meeting invites if guests are</w:t>
      </w:r>
      <w:r w:rsidR="003277A6">
        <w:t xml:space="preserve"> </w:t>
      </w:r>
      <w:r w:rsidR="000701DD">
        <w:t xml:space="preserve">invited. Use the waiting room function for external guests to a meeting </w:t>
      </w:r>
      <w:r w:rsidR="003277A6">
        <w:t>and</w:t>
      </w:r>
      <w:r w:rsidR="000701DD">
        <w:t xml:space="preserve"> be aware they will</w:t>
      </w:r>
      <w:r w:rsidR="003277A6">
        <w:t xml:space="preserve"> </w:t>
      </w:r>
      <w:r w:rsidR="000701DD">
        <w:t xml:space="preserve">have access to chat for all meetings for that discussion. </w:t>
      </w:r>
    </w:p>
    <w:p w14:paraId="26201BAC" w14:textId="77777777" w:rsidR="003277A6" w:rsidRDefault="003277A6" w:rsidP="003277A6"/>
    <w:p w14:paraId="36078BB9" w14:textId="5F5125B6" w:rsidR="000701DD" w:rsidRDefault="000701DD" w:rsidP="000701DD">
      <w:r>
        <w:t xml:space="preserve">It is possible to record a meeting on Teams. If you intend to record meetings, please </w:t>
      </w:r>
      <w:r w:rsidR="003277A6">
        <w:t xml:space="preserve">inform the other participants so that they can turn their camera off if they do not wish to be viewed. Recordings should be on a case-by-case basis and not done routinely. If there are on-going reasons for recording meetings, such as to help take accurate minutes, then there must be a process to delete the recording once the minutes have been agreed as accurate. This is for confidentiality reasons and due to storage limits on the Trust network.  </w:t>
      </w:r>
    </w:p>
    <w:p w14:paraId="062F9FBB" w14:textId="7B30BE25" w:rsidR="000701DD" w:rsidRDefault="000701DD" w:rsidP="000701DD"/>
    <w:p w14:paraId="474DC48F" w14:textId="77777777" w:rsidR="000701DD" w:rsidRPr="00AF5C26" w:rsidRDefault="000701DD" w:rsidP="000701DD">
      <w:pPr>
        <w:rPr>
          <w:u w:val="single"/>
        </w:rPr>
      </w:pPr>
      <w:r w:rsidRPr="00AF5C26">
        <w:rPr>
          <w:u w:val="single"/>
        </w:rPr>
        <w:t>Chats</w:t>
      </w:r>
    </w:p>
    <w:p w14:paraId="6D972586" w14:textId="2C35823C" w:rsidR="000701DD" w:rsidRDefault="000701DD" w:rsidP="00B31F5A">
      <w:r>
        <w:t>Any message you send via a chat is retained on Teams and will be considered a record</w:t>
      </w:r>
      <w:r w:rsidR="003277A6">
        <w:t>. Therefore, it is subject to both</w:t>
      </w:r>
      <w:r>
        <w:t xml:space="preserve"> Subject Access Requests and Freedom of Information requests. You should</w:t>
      </w:r>
      <w:r w:rsidR="003277A6">
        <w:t xml:space="preserve"> </w:t>
      </w:r>
      <w:r>
        <w:t xml:space="preserve">not use inappropriate language or share unauthorised content. The same behavioural standards should be adhered to as </w:t>
      </w:r>
      <w:r w:rsidR="009D1E16">
        <w:t>for</w:t>
      </w:r>
      <w:r>
        <w:t xml:space="preserve"> sending email</w:t>
      </w:r>
      <w:r w:rsidR="009D1E16">
        <w:t>s</w:t>
      </w:r>
      <w:r>
        <w:t>. Any record / chat / discussion pertaining to a patient record must be saved to the patient record and not stored on Teams. Chats on Teams can be searched by</w:t>
      </w:r>
      <w:r w:rsidR="00B31F5A">
        <w:t xml:space="preserve"> </w:t>
      </w:r>
      <w:r>
        <w:t>clicking on ‘Chat’ and entering a search term in the search bar at the top of the screen.</w:t>
      </w:r>
      <w:r w:rsidR="00B31F5A">
        <w:t xml:space="preserve"> </w:t>
      </w:r>
      <w:r>
        <w:t xml:space="preserve">Teams is a corporate system and any communication, including 1-to-1 conversations, should be restricted to </w:t>
      </w:r>
      <w:r w:rsidR="009D1E16">
        <w:t>business-related</w:t>
      </w:r>
      <w:r>
        <w:t xml:space="preserve"> discussion. Personal discussion should not take place over any corporate service. Discussions about other members of staff are subject to the Data Protection Act 2018 and an individual’s right of access to information held </w:t>
      </w:r>
      <w:r w:rsidR="00B31F5A">
        <w:t>about</w:t>
      </w:r>
      <w:r>
        <w:t xml:space="preserve"> them</w:t>
      </w:r>
      <w:r w:rsidR="00B31F5A">
        <w:t xml:space="preserve">. </w:t>
      </w:r>
      <w:r>
        <w:t xml:space="preserve">Some Team chats are viewable by </w:t>
      </w:r>
      <w:proofErr w:type="gramStart"/>
      <w:r>
        <w:t>a number of</w:t>
      </w:r>
      <w:proofErr w:type="gramEnd"/>
      <w:r>
        <w:t xml:space="preserve"> users. You should always ensure what you are discussing is appropriate for the people who have access. </w:t>
      </w:r>
    </w:p>
    <w:p w14:paraId="084ED71A" w14:textId="539EC395" w:rsidR="000701DD" w:rsidRDefault="000701DD" w:rsidP="000701DD"/>
    <w:p w14:paraId="38149CD9" w14:textId="77777777" w:rsidR="000701DD" w:rsidRPr="00AF5C26" w:rsidRDefault="000701DD" w:rsidP="000701DD">
      <w:pPr>
        <w:rPr>
          <w:u w:val="single"/>
        </w:rPr>
      </w:pPr>
      <w:r w:rsidRPr="00AF5C26">
        <w:rPr>
          <w:u w:val="single"/>
        </w:rPr>
        <w:t>Files</w:t>
      </w:r>
    </w:p>
    <w:p w14:paraId="31150888" w14:textId="658B256B" w:rsidR="000701DD" w:rsidRDefault="000701DD" w:rsidP="00B31F5A">
      <w:r>
        <w:t xml:space="preserve">Teams is a collaboration workspace, and not a records management system. </w:t>
      </w:r>
      <w:r w:rsidR="00B31F5A">
        <w:t>Y</w:t>
      </w:r>
      <w:r>
        <w:t>ou should continue to save important documents in the network drive locations already in place</w:t>
      </w:r>
      <w:r w:rsidR="00B31F5A">
        <w:t xml:space="preserve">. </w:t>
      </w:r>
      <w:r>
        <w:t xml:space="preserve">You may work collaboratively on draft versions of documents on </w:t>
      </w:r>
      <w:proofErr w:type="gramStart"/>
      <w:r>
        <w:t>Teams, or</w:t>
      </w:r>
      <w:proofErr w:type="gramEnd"/>
      <w:r>
        <w:t xml:space="preserve"> share project </w:t>
      </w:r>
      <w:r>
        <w:lastRenderedPageBreak/>
        <w:t>documents but the final version must be saved to the appropriate location on the shared drive as per normal practice. Each discussion should appoint a role</w:t>
      </w:r>
      <w:r w:rsidRPr="000701DD">
        <w:t xml:space="preserve"> </w:t>
      </w:r>
      <w:r>
        <w:t xml:space="preserve">whose responsibility it is to save documents to drives to avoid confusion about who is undertaking this. When using Teams remotely on non-NHS equipment, work files must not be synced or saved to your own equipment. Save files to your work network locations only. </w:t>
      </w:r>
    </w:p>
    <w:p w14:paraId="11BE95AC" w14:textId="77777777" w:rsidR="000701DD" w:rsidRPr="00AF5C26" w:rsidRDefault="000701DD" w:rsidP="00AF5C26"/>
    <w:p w14:paraId="6BC321BA" w14:textId="2CD82A8B" w:rsidR="00EE3DFF" w:rsidRDefault="00EE3DFF" w:rsidP="00EE3DFF">
      <w:pPr>
        <w:spacing w:before="120" w:after="120"/>
        <w:rPr>
          <w:b/>
        </w:rPr>
      </w:pPr>
      <w:r>
        <w:rPr>
          <w:b/>
        </w:rPr>
        <w:t>OneDrive</w:t>
      </w:r>
    </w:p>
    <w:p w14:paraId="7752F669" w14:textId="77777777" w:rsidR="00915E7B" w:rsidRDefault="00EE3DFF" w:rsidP="00EE3DFF">
      <w:pPr>
        <w:spacing w:before="120" w:after="120"/>
        <w:rPr>
          <w:bCs/>
        </w:rPr>
      </w:pPr>
      <w:r w:rsidRPr="00EE3DFF">
        <w:rPr>
          <w:bCs/>
        </w:rPr>
        <w:t>OneDrive</w:t>
      </w:r>
      <w:r w:rsidR="00915E7B">
        <w:rPr>
          <w:bCs/>
        </w:rPr>
        <w:t xml:space="preserve"> was originally created as a cloud back-up storage facility. This mean that files could be synced from a computer hard drive to the cloud, ensuring that if something went wrong then the file could be restored. As it was stored in the cloud, it could also be accessed from other locations. </w:t>
      </w:r>
    </w:p>
    <w:p w14:paraId="69B24989" w14:textId="514F95EC" w:rsidR="00915E7B" w:rsidRDefault="00915E7B" w:rsidP="00EE3DFF">
      <w:pPr>
        <w:spacing w:before="120" w:after="120"/>
        <w:rPr>
          <w:bCs/>
        </w:rPr>
      </w:pPr>
      <w:r>
        <w:rPr>
          <w:bCs/>
        </w:rPr>
        <w:t xml:space="preserve">Due to the flexibility of access, OneDrive is being used </w:t>
      </w:r>
      <w:r w:rsidR="009D1E16">
        <w:rPr>
          <w:bCs/>
        </w:rPr>
        <w:t xml:space="preserve">increasingly </w:t>
      </w:r>
      <w:r>
        <w:rPr>
          <w:bCs/>
        </w:rPr>
        <w:t xml:space="preserve">as a collaboration site where documents can be shared with others, worked on </w:t>
      </w:r>
      <w:r w:rsidR="009D1E16">
        <w:rPr>
          <w:bCs/>
        </w:rPr>
        <w:t xml:space="preserve">collaboratively </w:t>
      </w:r>
      <w:r>
        <w:rPr>
          <w:bCs/>
        </w:rPr>
        <w:t>and accessed from remote locations. If using OneDrive as a file sharing tool or way of remotely accessing documents, you must follow these rules:</w:t>
      </w:r>
    </w:p>
    <w:p w14:paraId="1D06F1F8" w14:textId="75375A38" w:rsidR="00D44A86" w:rsidRDefault="00D44A86" w:rsidP="00915E7B">
      <w:pPr>
        <w:pStyle w:val="ListParagraph"/>
        <w:numPr>
          <w:ilvl w:val="0"/>
          <w:numId w:val="42"/>
        </w:numPr>
        <w:spacing w:before="120" w:after="120"/>
        <w:rPr>
          <w:bCs/>
        </w:rPr>
      </w:pPr>
      <w:r>
        <w:rPr>
          <w:bCs/>
        </w:rPr>
        <w:t xml:space="preserve">General sharing/access: Files are set to private as default. If you want to share </w:t>
      </w:r>
      <w:proofErr w:type="gramStart"/>
      <w:r>
        <w:rPr>
          <w:bCs/>
        </w:rPr>
        <w:t>information</w:t>
      </w:r>
      <w:proofErr w:type="gramEnd"/>
      <w:r>
        <w:rPr>
          <w:bCs/>
        </w:rPr>
        <w:t xml:space="preserve"> always check who you are giving access to. If you can limit the access to single documents this is better. If access to folders is </w:t>
      </w:r>
      <w:proofErr w:type="gramStart"/>
      <w:r>
        <w:rPr>
          <w:bCs/>
        </w:rPr>
        <w:t>given</w:t>
      </w:r>
      <w:proofErr w:type="gramEnd"/>
      <w:r>
        <w:rPr>
          <w:bCs/>
        </w:rPr>
        <w:t xml:space="preserve"> then all files within that folder will become visible. If you have given access to information, this must be reviewed </w:t>
      </w:r>
      <w:proofErr w:type="gramStart"/>
      <w:r>
        <w:rPr>
          <w:bCs/>
        </w:rPr>
        <w:t>regularly</w:t>
      </w:r>
      <w:proofErr w:type="gramEnd"/>
      <w:r>
        <w:rPr>
          <w:bCs/>
        </w:rPr>
        <w:t xml:space="preserve"> and access removed when no longer </w:t>
      </w:r>
      <w:r w:rsidR="009D1E16">
        <w:rPr>
          <w:bCs/>
        </w:rPr>
        <w:t>required</w:t>
      </w:r>
      <w:r>
        <w:rPr>
          <w:bCs/>
        </w:rPr>
        <w:t xml:space="preserve">. In addition, the standard IG rules will </w:t>
      </w:r>
      <w:proofErr w:type="gramStart"/>
      <w:r>
        <w:rPr>
          <w:bCs/>
        </w:rPr>
        <w:t>apply</w:t>
      </w:r>
      <w:proofErr w:type="gramEnd"/>
      <w:r>
        <w:rPr>
          <w:bCs/>
        </w:rPr>
        <w:t xml:space="preserve"> and confidential data must not be shared unless it is absolutely necessary, it is not excessive, there is a need-to-know and there is a clear lawful basis. </w:t>
      </w:r>
    </w:p>
    <w:p w14:paraId="7EE5AFBA" w14:textId="0B2CB2F0" w:rsidR="00D44A86" w:rsidRPr="00D44A86" w:rsidRDefault="00D44A86" w:rsidP="00F84B20">
      <w:pPr>
        <w:pStyle w:val="ListParagraph"/>
        <w:numPr>
          <w:ilvl w:val="0"/>
          <w:numId w:val="42"/>
        </w:numPr>
        <w:spacing w:before="120" w:after="120"/>
        <w:rPr>
          <w:bCs/>
        </w:rPr>
      </w:pPr>
      <w:r w:rsidRPr="00D44A86">
        <w:rPr>
          <w:bCs/>
        </w:rPr>
        <w:t xml:space="preserve">Back-ups: Files that are worked </w:t>
      </w:r>
      <w:r w:rsidR="009D1E16">
        <w:rPr>
          <w:bCs/>
        </w:rPr>
        <w:t xml:space="preserve">on </w:t>
      </w:r>
      <w:r w:rsidRPr="00D44A86">
        <w:rPr>
          <w:bCs/>
        </w:rPr>
        <w:t xml:space="preserve">in OneDrive, including </w:t>
      </w:r>
      <w:r w:rsidR="009D1E16">
        <w:rPr>
          <w:bCs/>
        </w:rPr>
        <w:t>files</w:t>
      </w:r>
      <w:r w:rsidRPr="00D44A86">
        <w:rPr>
          <w:bCs/>
        </w:rPr>
        <w:t xml:space="preserve"> that are being co-edited are saved as you work. HOWEVER, OneDrive’s purpose was to provide a back-up to hard drives. This means that data must be saved on the Trust network. There is no back-up of the OneDrive</w:t>
      </w:r>
      <w:r w:rsidR="00D722E5">
        <w:rPr>
          <w:bCs/>
        </w:rPr>
        <w:t xml:space="preserve"> – this is not the responsibility of the Trust IT </w:t>
      </w:r>
      <w:r w:rsidR="009D1E16">
        <w:rPr>
          <w:bCs/>
        </w:rPr>
        <w:t>department</w:t>
      </w:r>
      <w:r w:rsidR="00D722E5">
        <w:rPr>
          <w:bCs/>
        </w:rPr>
        <w:t>. I</w:t>
      </w:r>
      <w:r w:rsidRPr="00D44A86">
        <w:rPr>
          <w:bCs/>
        </w:rPr>
        <w:t xml:space="preserve">f </w:t>
      </w:r>
      <w:r w:rsidR="00D722E5">
        <w:rPr>
          <w:bCs/>
        </w:rPr>
        <w:t>a</w:t>
      </w:r>
      <w:r w:rsidRPr="00D44A86">
        <w:rPr>
          <w:bCs/>
        </w:rPr>
        <w:t xml:space="preserve"> document</w:t>
      </w:r>
      <w:r w:rsidR="00D722E5">
        <w:rPr>
          <w:bCs/>
        </w:rPr>
        <w:t xml:space="preserve"> or folder</w:t>
      </w:r>
      <w:r w:rsidRPr="00D44A86">
        <w:rPr>
          <w:bCs/>
        </w:rPr>
        <w:t xml:space="preserve"> is deleted by mistake or becomes corrupt then </w:t>
      </w:r>
      <w:r w:rsidR="00D722E5">
        <w:rPr>
          <w:bCs/>
        </w:rPr>
        <w:t>y</w:t>
      </w:r>
      <w:r w:rsidRPr="00D44A86">
        <w:rPr>
          <w:bCs/>
        </w:rPr>
        <w:t xml:space="preserve">ou can check the OneDrive recycle bin but if the file is not there, it cannot be recovered. </w:t>
      </w:r>
      <w:r w:rsidR="00915E7B">
        <w:t xml:space="preserve"> </w:t>
      </w:r>
    </w:p>
    <w:p w14:paraId="46BA9F15" w14:textId="4F68B75E" w:rsidR="00D44A86" w:rsidRDefault="00EE3DFF" w:rsidP="00F84B20">
      <w:pPr>
        <w:pStyle w:val="ListParagraph"/>
        <w:numPr>
          <w:ilvl w:val="0"/>
          <w:numId w:val="42"/>
        </w:numPr>
        <w:spacing w:before="120" w:after="120"/>
        <w:rPr>
          <w:bCs/>
        </w:rPr>
      </w:pPr>
      <w:r w:rsidRPr="00D44A86">
        <w:rPr>
          <w:bCs/>
        </w:rPr>
        <w:t>Storage</w:t>
      </w:r>
      <w:r w:rsidR="00D44A86" w:rsidRPr="00D44A86">
        <w:rPr>
          <w:bCs/>
        </w:rPr>
        <w:t xml:space="preserve"> and retention:</w:t>
      </w:r>
      <w:r w:rsidR="00915E7B" w:rsidRPr="00D44A86">
        <w:rPr>
          <w:bCs/>
        </w:rPr>
        <w:t xml:space="preserve"> A</w:t>
      </w:r>
      <w:r w:rsidR="00D44A86" w:rsidRPr="00D44A86">
        <w:rPr>
          <w:bCs/>
        </w:rPr>
        <w:t>s above, a</w:t>
      </w:r>
      <w:r w:rsidR="00915E7B" w:rsidRPr="00D44A86">
        <w:rPr>
          <w:bCs/>
        </w:rPr>
        <w:t xml:space="preserve">ll files and folders </w:t>
      </w:r>
      <w:r w:rsidR="00D44A86" w:rsidRPr="00D44A86">
        <w:rPr>
          <w:bCs/>
        </w:rPr>
        <w:t xml:space="preserve">must be saved to the Trust network. </w:t>
      </w:r>
      <w:r w:rsidR="009D1E16">
        <w:rPr>
          <w:bCs/>
        </w:rPr>
        <w:t>T</w:t>
      </w:r>
      <w:r w:rsidR="009D1E16" w:rsidRPr="00D44A86">
        <w:rPr>
          <w:bCs/>
        </w:rPr>
        <w:t xml:space="preserve">he original or only version of patient data or decision-making documentation </w:t>
      </w:r>
      <w:r w:rsidR="009D1E16">
        <w:rPr>
          <w:bCs/>
        </w:rPr>
        <w:t>which may have a legal impact</w:t>
      </w:r>
      <w:r w:rsidR="009D1E16" w:rsidRPr="00D44A86" w:rsidDel="009D1E16">
        <w:rPr>
          <w:bCs/>
        </w:rPr>
        <w:t xml:space="preserve"> </w:t>
      </w:r>
      <w:r w:rsidR="00D44A86" w:rsidRPr="00D44A86">
        <w:rPr>
          <w:bCs/>
        </w:rPr>
        <w:t xml:space="preserve">should </w:t>
      </w:r>
      <w:proofErr w:type="spellStart"/>
      <w:r w:rsidR="009D1E16">
        <w:rPr>
          <w:bCs/>
        </w:rPr>
        <w:t>not</w:t>
      </w:r>
      <w:r w:rsidR="00D44A86" w:rsidRPr="00D44A86">
        <w:rPr>
          <w:bCs/>
        </w:rPr>
        <w:t>be</w:t>
      </w:r>
      <w:proofErr w:type="spellEnd"/>
      <w:r w:rsidR="00D44A86" w:rsidRPr="00D44A86">
        <w:rPr>
          <w:bCs/>
        </w:rPr>
        <w:t xml:space="preserve"> saved on </w:t>
      </w:r>
      <w:proofErr w:type="gramStart"/>
      <w:r w:rsidR="00D44A86" w:rsidRPr="00D44A86">
        <w:rPr>
          <w:bCs/>
        </w:rPr>
        <w:t xml:space="preserve">OneDrive </w:t>
      </w:r>
      <w:r w:rsidR="00BE3902">
        <w:rPr>
          <w:bCs/>
        </w:rPr>
        <w:t>,</w:t>
      </w:r>
      <w:proofErr w:type="gramEnd"/>
      <w:r w:rsidR="00D44A86" w:rsidRPr="00D44A86">
        <w:rPr>
          <w:bCs/>
        </w:rPr>
        <w:t xml:space="preserve">. When documentation that is </w:t>
      </w:r>
      <w:r w:rsidR="009D1E16">
        <w:rPr>
          <w:bCs/>
        </w:rPr>
        <w:t>under development or review</w:t>
      </w:r>
      <w:r w:rsidR="00D44A86" w:rsidRPr="00D44A86">
        <w:rPr>
          <w:bCs/>
        </w:rPr>
        <w:t xml:space="preserve"> is no longer needed on OneDrive, then it must be deleted at the earliest opportunity and deleted from the recycle bin. </w:t>
      </w:r>
    </w:p>
    <w:p w14:paraId="65E01701" w14:textId="650EB6FA" w:rsidR="00EE3DFF" w:rsidRPr="00D44A86" w:rsidRDefault="00EE3DFF" w:rsidP="00AF5C26">
      <w:pPr>
        <w:pStyle w:val="ListParagraph"/>
        <w:numPr>
          <w:ilvl w:val="0"/>
          <w:numId w:val="42"/>
        </w:numPr>
        <w:spacing w:before="120" w:after="120"/>
        <w:rPr>
          <w:bCs/>
        </w:rPr>
      </w:pPr>
      <w:r w:rsidRPr="00D44A86">
        <w:rPr>
          <w:bCs/>
        </w:rPr>
        <w:t>Leavers</w:t>
      </w:r>
      <w:r w:rsidR="00D44A86">
        <w:rPr>
          <w:bCs/>
        </w:rPr>
        <w:t xml:space="preserve">: OneDrive access is provided by the Trust and is a tool to support you when working. No data should be saved on the OneDrive which </w:t>
      </w:r>
      <w:r w:rsidR="009D1E16">
        <w:rPr>
          <w:bCs/>
        </w:rPr>
        <w:t>has not been</w:t>
      </w:r>
      <w:r w:rsidR="00D44A86">
        <w:rPr>
          <w:bCs/>
        </w:rPr>
        <w:t xml:space="preserve"> saved on the Trust network. If you leave the </w:t>
      </w:r>
      <w:proofErr w:type="gramStart"/>
      <w:r w:rsidR="00D44A86">
        <w:rPr>
          <w:bCs/>
        </w:rPr>
        <w:t>Trust</w:t>
      </w:r>
      <w:proofErr w:type="gramEnd"/>
      <w:r w:rsidR="00D44A86">
        <w:rPr>
          <w:bCs/>
        </w:rPr>
        <w:t xml:space="preserve"> </w:t>
      </w:r>
      <w:r w:rsidR="00D722E5">
        <w:rPr>
          <w:bCs/>
        </w:rPr>
        <w:t xml:space="preserve">then </w:t>
      </w:r>
      <w:r w:rsidR="009D1E16">
        <w:rPr>
          <w:bCs/>
        </w:rPr>
        <w:t>access to</w:t>
      </w:r>
      <w:r w:rsidR="00D722E5">
        <w:rPr>
          <w:bCs/>
        </w:rPr>
        <w:t xml:space="preserve"> OneDrive will be removed and data will be set to delete automatically. </w:t>
      </w:r>
      <w:r w:rsidR="00BE3902">
        <w:t>Your manager will be granted access to the drive for 30 days to ensure that no Trust data is lost.</w:t>
      </w:r>
      <w:r w:rsidR="00BE3902">
        <w:rPr>
          <w:bCs/>
        </w:rPr>
        <w:t xml:space="preserve"> </w:t>
      </w:r>
      <w:r w:rsidR="00D722E5">
        <w:rPr>
          <w:bCs/>
        </w:rPr>
        <w:t xml:space="preserve">If you are moving to another </w:t>
      </w:r>
      <w:r w:rsidR="009D1E16">
        <w:rPr>
          <w:bCs/>
        </w:rPr>
        <w:t xml:space="preserve">NHS </w:t>
      </w:r>
      <w:r w:rsidR="00D722E5">
        <w:rPr>
          <w:bCs/>
        </w:rPr>
        <w:t xml:space="preserve">healthcare organisation and you have copies of information which may be helpful to you, such as a copy of a policy, then this can be taken with you. However, no </w:t>
      </w:r>
      <w:r w:rsidR="00BE3902">
        <w:rPr>
          <w:bCs/>
        </w:rPr>
        <w:t>files or folders</w:t>
      </w:r>
      <w:r w:rsidR="00D722E5">
        <w:rPr>
          <w:bCs/>
        </w:rPr>
        <w:t xml:space="preserve"> w</w:t>
      </w:r>
      <w:r w:rsidR="00BE3902">
        <w:rPr>
          <w:bCs/>
        </w:rPr>
        <w:t xml:space="preserve">hich contain confidential data, can be taken unless approval has been sought from the Trust’s Information Governance team. </w:t>
      </w:r>
      <w:r w:rsidR="00D722E5">
        <w:rPr>
          <w:bCs/>
        </w:rPr>
        <w:t xml:space="preserve"> </w:t>
      </w:r>
    </w:p>
    <w:p w14:paraId="5541C647" w14:textId="77777777" w:rsidR="009D3BCD" w:rsidRDefault="009D3BCD" w:rsidP="00912BD0">
      <w:pPr>
        <w:spacing w:before="120" w:after="120"/>
        <w:rPr>
          <w:b/>
        </w:rPr>
      </w:pPr>
    </w:p>
    <w:p w14:paraId="49917AF3" w14:textId="02DFDCC6" w:rsidR="00F4714E" w:rsidRPr="00912BD0" w:rsidRDefault="00F4714E" w:rsidP="00912BD0">
      <w:pPr>
        <w:spacing w:before="120" w:after="120"/>
        <w:rPr>
          <w:b/>
        </w:rPr>
      </w:pPr>
      <w:r w:rsidRPr="00912BD0">
        <w:rPr>
          <w:b/>
        </w:rPr>
        <w:t>Physical Transfer of Records</w:t>
      </w:r>
    </w:p>
    <w:p w14:paraId="6D2696F0" w14:textId="77777777" w:rsidR="00912BD0" w:rsidRDefault="00F4714E" w:rsidP="00F4714E">
      <w:r>
        <w:t>Employees must always give the highest priority to the security of records they are transporting, especially in the case of records containing personal, sensitive or confidential information.</w:t>
      </w:r>
      <w:r w:rsidR="00912BD0">
        <w:t xml:space="preserve"> </w:t>
      </w:r>
      <w:r>
        <w:t>All sensitive personal information must be</w:t>
      </w:r>
      <w:r w:rsidR="00912BD0">
        <w:t>:</w:t>
      </w:r>
    </w:p>
    <w:p w14:paraId="7C796D25" w14:textId="77777777" w:rsidR="00912BD0" w:rsidRDefault="00912BD0" w:rsidP="00F4714E"/>
    <w:p w14:paraId="595D1D4D" w14:textId="77777777" w:rsidR="00F4714E" w:rsidRDefault="00912BD0" w:rsidP="00912BD0">
      <w:pPr>
        <w:pStyle w:val="ListParagraph"/>
        <w:numPr>
          <w:ilvl w:val="0"/>
          <w:numId w:val="29"/>
        </w:numPr>
        <w:ind w:left="567" w:hanging="283"/>
      </w:pPr>
      <w:r>
        <w:t>T</w:t>
      </w:r>
      <w:r w:rsidR="00F4714E">
        <w:t xml:space="preserve">ransported in a suitable lockable or sealed container or folder, and in an encrypted format </w:t>
      </w:r>
      <w:proofErr w:type="gramStart"/>
      <w:r w:rsidR="00F4714E">
        <w:t>where</w:t>
      </w:r>
      <w:proofErr w:type="gramEnd"/>
      <w:r w:rsidR="00F4714E">
        <w:t xml:space="preserve"> held electronically</w:t>
      </w:r>
      <w:r>
        <w:t>;</w:t>
      </w:r>
    </w:p>
    <w:p w14:paraId="6439EC5C" w14:textId="77777777" w:rsidR="00F4714E" w:rsidRDefault="00912BD0" w:rsidP="00F4714E">
      <w:pPr>
        <w:pStyle w:val="ListParagraph"/>
        <w:numPr>
          <w:ilvl w:val="0"/>
          <w:numId w:val="29"/>
        </w:numPr>
        <w:ind w:left="567" w:hanging="283"/>
      </w:pPr>
      <w:r>
        <w:t>R</w:t>
      </w:r>
      <w:r w:rsidR="00F4714E">
        <w:t>ecorded in the relevant departmental tracking system by the pe</w:t>
      </w:r>
      <w:r>
        <w:t xml:space="preserve">rson transporting the </w:t>
      </w:r>
      <w:proofErr w:type="gramStart"/>
      <w:r>
        <w:t>records;</w:t>
      </w:r>
      <w:proofErr w:type="gramEnd"/>
    </w:p>
    <w:p w14:paraId="1D2D7A03" w14:textId="77777777" w:rsidR="00F4714E" w:rsidRDefault="00912BD0" w:rsidP="00F4714E">
      <w:pPr>
        <w:pStyle w:val="ListParagraph"/>
        <w:numPr>
          <w:ilvl w:val="0"/>
          <w:numId w:val="29"/>
        </w:numPr>
        <w:ind w:left="567" w:hanging="283"/>
      </w:pPr>
      <w:r>
        <w:t xml:space="preserve">Kept away from anyone who is </w:t>
      </w:r>
      <w:r w:rsidR="00F4714E">
        <w:t>eat</w:t>
      </w:r>
      <w:r>
        <w:t>ing</w:t>
      </w:r>
      <w:r w:rsidR="00F4714E">
        <w:t>, drink</w:t>
      </w:r>
      <w:r>
        <w:t>ing</w:t>
      </w:r>
      <w:r w:rsidR="00F4714E">
        <w:t xml:space="preserve"> or smok</w:t>
      </w:r>
      <w:r>
        <w:t xml:space="preserve">ing near records, or transported in a vehicle which does not contain hazardous materials or liquids which could spill and damage </w:t>
      </w:r>
      <w:proofErr w:type="gramStart"/>
      <w:r>
        <w:t>them;</w:t>
      </w:r>
      <w:proofErr w:type="gramEnd"/>
    </w:p>
    <w:p w14:paraId="74AE90D7" w14:textId="77777777" w:rsidR="00F4714E" w:rsidRDefault="00912BD0" w:rsidP="00F4714E">
      <w:pPr>
        <w:pStyle w:val="ListParagraph"/>
        <w:numPr>
          <w:ilvl w:val="0"/>
          <w:numId w:val="29"/>
        </w:numPr>
        <w:ind w:left="567" w:hanging="283"/>
      </w:pPr>
      <w:r>
        <w:t>S</w:t>
      </w:r>
      <w:r w:rsidR="00F4714E">
        <w:t>upervised and enclosed in a suitable container (</w:t>
      </w:r>
      <w:proofErr w:type="gramStart"/>
      <w:r w:rsidR="00F4714E">
        <w:t>e.g.</w:t>
      </w:r>
      <w:proofErr w:type="gramEnd"/>
      <w:r w:rsidR="00F4714E">
        <w:t xml:space="preserve"> an envelope or covered trolley), to prevent unauthorised access whilst in transit</w:t>
      </w:r>
      <w:r>
        <w:t xml:space="preserve"> on-site;</w:t>
      </w:r>
      <w:r w:rsidR="00F4714E">
        <w:t xml:space="preserve"> </w:t>
      </w:r>
    </w:p>
    <w:p w14:paraId="67F77A72" w14:textId="77777777" w:rsidR="00F4714E" w:rsidRDefault="00912BD0" w:rsidP="00F4714E">
      <w:pPr>
        <w:pStyle w:val="ListParagraph"/>
        <w:numPr>
          <w:ilvl w:val="0"/>
          <w:numId w:val="29"/>
        </w:numPr>
        <w:ind w:left="567" w:hanging="283"/>
      </w:pPr>
      <w:r>
        <w:t>H</w:t>
      </w:r>
      <w:r w:rsidR="00F4714E">
        <w:t xml:space="preserve">andled carefully when being </w:t>
      </w:r>
      <w:r>
        <w:t xml:space="preserve">loaded, transported or </w:t>
      </w:r>
      <w:proofErr w:type="gramStart"/>
      <w:r>
        <w:t>unloaded;</w:t>
      </w:r>
      <w:proofErr w:type="gramEnd"/>
    </w:p>
    <w:p w14:paraId="1C214873" w14:textId="77777777" w:rsidR="00F4714E" w:rsidRDefault="00912BD0" w:rsidP="00F4714E">
      <w:pPr>
        <w:pStyle w:val="ListParagraph"/>
        <w:numPr>
          <w:ilvl w:val="0"/>
          <w:numId w:val="29"/>
        </w:numPr>
        <w:ind w:left="567" w:hanging="283"/>
      </w:pPr>
      <w:r>
        <w:t>P</w:t>
      </w:r>
      <w:r w:rsidR="00F4714E">
        <w:t xml:space="preserve">acked carefully into vehicles to ensure that they will not be damaged </w:t>
      </w:r>
      <w:r>
        <w:t>by the movement of the vehicle; and</w:t>
      </w:r>
    </w:p>
    <w:p w14:paraId="43E51FDF" w14:textId="77777777" w:rsidR="00F4714E" w:rsidRDefault="00912BD0" w:rsidP="00F4714E">
      <w:pPr>
        <w:pStyle w:val="ListParagraph"/>
        <w:numPr>
          <w:ilvl w:val="0"/>
          <w:numId w:val="29"/>
        </w:numPr>
        <w:ind w:left="567" w:hanging="283"/>
      </w:pPr>
      <w:r>
        <w:t>Transported in</w:t>
      </w:r>
      <w:r w:rsidR="00F4714E">
        <w:t xml:space="preserve"> fully enclosed </w:t>
      </w:r>
      <w:r>
        <w:t xml:space="preserve">vehicles </w:t>
      </w:r>
      <w:r w:rsidR="00F4714E">
        <w:t xml:space="preserve">so </w:t>
      </w:r>
      <w:r>
        <w:t>that they are</w:t>
      </w:r>
      <w:r w:rsidR="00F4714E">
        <w:t xml:space="preserve"> protected from exposure to the weather, excessive light and other risks such as theft. </w:t>
      </w:r>
    </w:p>
    <w:p w14:paraId="48047B6A" w14:textId="77777777" w:rsidR="00912BD0" w:rsidRDefault="00912BD0" w:rsidP="00912BD0">
      <w:pPr>
        <w:ind w:left="284"/>
      </w:pPr>
    </w:p>
    <w:p w14:paraId="6EFF5D55" w14:textId="77777777" w:rsidR="00F4714E" w:rsidRDefault="00F4714E" w:rsidP="00F4714E">
      <w:r>
        <w:t xml:space="preserve">Where regular transfers of information are made with partner organisations, minimum datasets should be agreed by both parties to ensure that only information necessary for the task in hand is shared. </w:t>
      </w:r>
    </w:p>
    <w:p w14:paraId="55AC7F30" w14:textId="77777777" w:rsidR="00912BD0" w:rsidRDefault="00912BD0" w:rsidP="00F4714E"/>
    <w:p w14:paraId="55983146" w14:textId="77777777" w:rsidR="00F4714E" w:rsidRDefault="00912BD0" w:rsidP="00F4714E">
      <w:r>
        <w:t>E</w:t>
      </w:r>
      <w:r w:rsidR="00F4714E">
        <w:t>mployee</w:t>
      </w:r>
      <w:r>
        <w:t>s</w:t>
      </w:r>
      <w:r w:rsidR="00F4714E">
        <w:t xml:space="preserve"> must be authorised to take the information off-site – it is normally the line manager who grants this authorisation</w:t>
      </w:r>
      <w:r>
        <w:t xml:space="preserve"> and must ensure that o</w:t>
      </w:r>
      <w:r w:rsidR="00F4714E">
        <w:t>nly the minimum of information is taken off-site.</w:t>
      </w:r>
    </w:p>
    <w:p w14:paraId="4AA7264B" w14:textId="77777777" w:rsidR="00912BD0" w:rsidRDefault="00912BD0" w:rsidP="00F4714E"/>
    <w:p w14:paraId="0974D940" w14:textId="77777777" w:rsidR="00F4714E" w:rsidRDefault="00F4714E" w:rsidP="00F4714E">
      <w:r>
        <w:t>For paper-based medical records, details of the records and the employee must be entered on the case note tracking system, and the Health Records Manager must be informed.  The records must be transported in secure sealed bags.</w:t>
      </w:r>
    </w:p>
    <w:p w14:paraId="62BF2319" w14:textId="77777777" w:rsidR="00912BD0" w:rsidRDefault="00912BD0" w:rsidP="00F4714E"/>
    <w:p w14:paraId="59B24E6C" w14:textId="77777777" w:rsidR="00F4714E" w:rsidRDefault="00F4714E" w:rsidP="00F4714E">
      <w:r>
        <w:t>For other paper-based files/records, a log must be kept on-site of which records have been taken, when and by whom, where they are being taken, and when they are to be returned.</w:t>
      </w:r>
    </w:p>
    <w:p w14:paraId="287764FF" w14:textId="77777777" w:rsidR="00912BD0" w:rsidRDefault="00912BD0" w:rsidP="00F4714E"/>
    <w:p w14:paraId="076A435C" w14:textId="77777777" w:rsidR="00F4714E" w:rsidRDefault="00F4714E" w:rsidP="00F4714E">
      <w:r>
        <w:t xml:space="preserve">For electronic files/records, the information must be held in encrypted form on a CD/DVD, memory stick or other removable device/media.  There may be exceptional situations where it is </w:t>
      </w:r>
      <w:proofErr w:type="gramStart"/>
      <w:r>
        <w:t>absolutely necessary</w:t>
      </w:r>
      <w:proofErr w:type="gramEnd"/>
      <w:r>
        <w:t xml:space="preserve"> for person-identifiable information to be stored on the encrypted hard drive of a laptop, but it is best practice to avoid doing so if at all possible.  Person-identifiable information must never be held on the unencrypted hard drive of any PC.</w:t>
      </w:r>
    </w:p>
    <w:p w14:paraId="12A6E728" w14:textId="77777777" w:rsidR="00912BD0" w:rsidRDefault="00912BD0" w:rsidP="00F4714E"/>
    <w:p w14:paraId="27FEAEFE" w14:textId="77777777" w:rsidR="00F4714E" w:rsidRDefault="00912BD0" w:rsidP="00F4714E">
      <w:r>
        <w:t>Whilst the information/records are off-site, t</w:t>
      </w:r>
      <w:r w:rsidR="00F4714E">
        <w:t xml:space="preserve">he employee has personal responsibility to ensure </w:t>
      </w:r>
      <w:r>
        <w:t xml:space="preserve">that </w:t>
      </w:r>
      <w:r w:rsidR="00F4714E">
        <w:t>the information is kept secure and confidential.  This means that the employee must not make any copies or allow any copies to be made, and must not allow friends, colleagues or other family members to see any of the information, including any details printed on the outside of paper folders.</w:t>
      </w:r>
    </w:p>
    <w:p w14:paraId="708C085C" w14:textId="77777777" w:rsidR="00912BD0" w:rsidRDefault="00912BD0" w:rsidP="00F4714E"/>
    <w:p w14:paraId="47299334" w14:textId="77777777" w:rsidR="00F4714E" w:rsidRDefault="00F4714E" w:rsidP="00F4714E">
      <w:r>
        <w:t xml:space="preserve">When files/records are </w:t>
      </w:r>
      <w:r w:rsidR="00912BD0">
        <w:t>returned</w:t>
      </w:r>
      <w:r>
        <w:t xml:space="preserve"> to the workplace, they must be transported in secure containers or in sealed packages.  When paper records have been returned to the Trust’s premises, their return must be logged.  Electronic files/records on removable devices/media must be virus-checked before being loaded onto any of the Trust’s systems or network drives.</w:t>
      </w:r>
    </w:p>
    <w:p w14:paraId="21010D61" w14:textId="77777777" w:rsidR="00F4714E" w:rsidRPr="00912BD0" w:rsidRDefault="00F4714E" w:rsidP="00912BD0">
      <w:pPr>
        <w:spacing w:before="120" w:after="120"/>
        <w:rPr>
          <w:b/>
        </w:rPr>
      </w:pPr>
      <w:r w:rsidRPr="00912BD0">
        <w:rPr>
          <w:b/>
        </w:rPr>
        <w:t>Faxing</w:t>
      </w:r>
    </w:p>
    <w:p w14:paraId="736DD3D6" w14:textId="2D1785E1" w:rsidR="00F4714E" w:rsidRDefault="009D3BCD" w:rsidP="00F4714E">
      <w:r>
        <w:t xml:space="preserve">Faxes are no longer used within the NHS. </w:t>
      </w:r>
      <w:r w:rsidR="00F4714E">
        <w:t>Any confidential information held by the organisation should only be sent by fax w</w:t>
      </w:r>
      <w:r w:rsidR="00912BD0">
        <w:t xml:space="preserve">here it is </w:t>
      </w:r>
      <w:proofErr w:type="gramStart"/>
      <w:r w:rsidR="00912BD0">
        <w:t>absolutely necessary</w:t>
      </w:r>
      <w:proofErr w:type="gramEnd"/>
      <w:r>
        <w:t xml:space="preserve"> and other means of transfer are not available, for example, during a </w:t>
      </w:r>
      <w:proofErr w:type="spellStart"/>
      <w:r>
        <w:t>cyber attack</w:t>
      </w:r>
      <w:proofErr w:type="spellEnd"/>
      <w:r>
        <w:t xml:space="preserve"> where the email system is not available.</w:t>
      </w:r>
    </w:p>
    <w:p w14:paraId="5764AAA2" w14:textId="77777777" w:rsidR="00663C52" w:rsidRDefault="00663C52" w:rsidP="00663C52">
      <w:pPr>
        <w:spacing w:before="120" w:after="120"/>
      </w:pPr>
      <w:r w:rsidRPr="00663C52">
        <w:rPr>
          <w:b/>
        </w:rPr>
        <w:t xml:space="preserve">Disclosing </w:t>
      </w:r>
      <w:r>
        <w:rPr>
          <w:b/>
        </w:rPr>
        <w:t xml:space="preserve">/ Sharing </w:t>
      </w:r>
      <w:r w:rsidRPr="00663C52">
        <w:rPr>
          <w:b/>
        </w:rPr>
        <w:t>Information</w:t>
      </w:r>
    </w:p>
    <w:p w14:paraId="4BF2E649" w14:textId="77777777" w:rsidR="00F4714E" w:rsidRDefault="00F4714E" w:rsidP="00F4714E">
      <w:r>
        <w:lastRenderedPageBreak/>
        <w:t>The disclos</w:t>
      </w:r>
      <w:r w:rsidR="00663C52">
        <w:t>ure or sharing</w:t>
      </w:r>
      <w:r>
        <w:t xml:space="preserve"> of confidential information must only be on a ‘need to know’ basis and to an individual that has a legitimate right to receive it</w:t>
      </w:r>
      <w:r w:rsidR="00663C52">
        <w:t>.  Anonymised information rather than person-identifiable information must be used wherever possible, and any use of person-identifiable information must have a legal basis</w:t>
      </w:r>
      <w:r w:rsidR="00663C52" w:rsidRPr="00663C52">
        <w:t xml:space="preserve"> </w:t>
      </w:r>
      <w:r w:rsidR="00663C52">
        <w:t>or be for justified purposes.</w:t>
      </w:r>
    </w:p>
    <w:p w14:paraId="40796BC4" w14:textId="77777777" w:rsidR="00663C52" w:rsidRPr="00912BD0" w:rsidRDefault="00663C52" w:rsidP="00663C52">
      <w:pPr>
        <w:spacing w:before="120" w:after="120"/>
        <w:rPr>
          <w:b/>
        </w:rPr>
      </w:pPr>
      <w:r w:rsidRPr="00912BD0">
        <w:rPr>
          <w:b/>
        </w:rPr>
        <w:t>Security of Information</w:t>
      </w:r>
    </w:p>
    <w:p w14:paraId="0D28119A" w14:textId="77777777" w:rsidR="00663C52" w:rsidRDefault="00663C52" w:rsidP="00663C52">
      <w:r>
        <w:t xml:space="preserve">All confidential information must be treated in the strictest confidence and must be </w:t>
      </w:r>
      <w:proofErr w:type="gramStart"/>
      <w:r>
        <w:t>held securely at all times</w:t>
      </w:r>
      <w:proofErr w:type="gramEnd"/>
      <w:r>
        <w:t xml:space="preserve">.  It must be retained safely for as long as </w:t>
      </w:r>
      <w:proofErr w:type="gramStart"/>
      <w:r>
        <w:t>necessary, and</w:t>
      </w:r>
      <w:proofErr w:type="gramEnd"/>
      <w:r>
        <w:t xml:space="preserve"> destroyed securely when no longer required. Employees can help to keep information secure by following these simple rules:</w:t>
      </w:r>
    </w:p>
    <w:p w14:paraId="5537FACA" w14:textId="77777777" w:rsidR="00663C52" w:rsidRDefault="00663C52" w:rsidP="00663C52"/>
    <w:p w14:paraId="5F9CF9E9" w14:textId="77777777" w:rsidR="00F4714E" w:rsidRDefault="00F4714E" w:rsidP="00F4714E">
      <w:pPr>
        <w:pStyle w:val="ListParagraph"/>
        <w:numPr>
          <w:ilvl w:val="0"/>
          <w:numId w:val="29"/>
        </w:numPr>
        <w:ind w:left="567" w:hanging="283"/>
      </w:pPr>
      <w:r>
        <w:t xml:space="preserve">Any confidential information, held </w:t>
      </w:r>
      <w:r w:rsidR="00663C52">
        <w:t>in any format</w:t>
      </w:r>
      <w:r>
        <w:t xml:space="preserve">, which is received from or sent to another individual, must be secure in transit and addressed </w:t>
      </w:r>
      <w:proofErr w:type="gramStart"/>
      <w:r>
        <w:t>correctly;</w:t>
      </w:r>
      <w:proofErr w:type="gramEnd"/>
    </w:p>
    <w:p w14:paraId="242C5A61" w14:textId="77777777" w:rsidR="00663C52" w:rsidRDefault="00663C52" w:rsidP="00663C52">
      <w:pPr>
        <w:pStyle w:val="ListParagraph"/>
        <w:numPr>
          <w:ilvl w:val="0"/>
          <w:numId w:val="29"/>
        </w:numPr>
        <w:ind w:left="567" w:hanging="283"/>
      </w:pPr>
      <w:r>
        <w:t xml:space="preserve">Do not talk about patients or employees in public areas or where there is a risk of being </w:t>
      </w:r>
      <w:proofErr w:type="gramStart"/>
      <w:r>
        <w:t>overheard;</w:t>
      </w:r>
      <w:proofErr w:type="gramEnd"/>
    </w:p>
    <w:p w14:paraId="549402F2" w14:textId="77777777" w:rsidR="00663C52" w:rsidRDefault="00663C52" w:rsidP="00663C52">
      <w:pPr>
        <w:pStyle w:val="ListParagraph"/>
        <w:numPr>
          <w:ilvl w:val="0"/>
          <w:numId w:val="29"/>
        </w:numPr>
        <w:ind w:left="567" w:hanging="283"/>
      </w:pPr>
      <w:r>
        <w:t xml:space="preserve">Do not breach confidentiality or post inappropriate comments on social networking sites. Even if personal details are not </w:t>
      </w:r>
      <w:proofErr w:type="gramStart"/>
      <w:r>
        <w:t>disclosed</w:t>
      </w:r>
      <w:proofErr w:type="gramEnd"/>
      <w:r>
        <w:t xml:space="preserve"> they could still be deduced</w:t>
      </w:r>
    </w:p>
    <w:p w14:paraId="4D41D13C" w14:textId="77777777" w:rsidR="00F4714E" w:rsidRDefault="00663C52" w:rsidP="00F4714E">
      <w:pPr>
        <w:pStyle w:val="ListParagraph"/>
        <w:numPr>
          <w:ilvl w:val="0"/>
          <w:numId w:val="29"/>
        </w:numPr>
        <w:ind w:left="567" w:hanging="283"/>
      </w:pPr>
      <w:r>
        <w:t>Confidential</w:t>
      </w:r>
      <w:r w:rsidR="00F4714E">
        <w:t xml:space="preserve"> information must not be stored on the unencrypted hard drive of any computer which is provided by the Trust or is used by the employee for work </w:t>
      </w:r>
      <w:proofErr w:type="gramStart"/>
      <w:r w:rsidR="00F4714E">
        <w:t>purposes;</w:t>
      </w:r>
      <w:proofErr w:type="gramEnd"/>
    </w:p>
    <w:p w14:paraId="7104C409" w14:textId="77777777" w:rsidR="00F4714E" w:rsidRDefault="00663C52" w:rsidP="00F4714E">
      <w:pPr>
        <w:pStyle w:val="ListParagraph"/>
        <w:numPr>
          <w:ilvl w:val="0"/>
          <w:numId w:val="29"/>
        </w:numPr>
        <w:ind w:left="567" w:hanging="283"/>
      </w:pPr>
      <w:r>
        <w:t>Confidential</w:t>
      </w:r>
      <w:r w:rsidR="00F4714E">
        <w:t xml:space="preserve"> information must be encrypted when stored electronically on any mobile or removable device/media or when transmitted/transferred </w:t>
      </w:r>
      <w:proofErr w:type="gramStart"/>
      <w:r w:rsidR="00F4714E">
        <w:t>electronically;</w:t>
      </w:r>
      <w:proofErr w:type="gramEnd"/>
    </w:p>
    <w:p w14:paraId="5EE173EB" w14:textId="77777777" w:rsidR="00663C52" w:rsidRDefault="00F4714E" w:rsidP="00F4714E">
      <w:pPr>
        <w:pStyle w:val="ListParagraph"/>
        <w:numPr>
          <w:ilvl w:val="0"/>
          <w:numId w:val="29"/>
        </w:numPr>
        <w:ind w:left="567" w:hanging="283"/>
      </w:pPr>
      <w:r>
        <w:t xml:space="preserve">Locations where information can be accessed, </w:t>
      </w:r>
      <w:proofErr w:type="gramStart"/>
      <w:r>
        <w:t>e.g.</w:t>
      </w:r>
      <w:proofErr w:type="gramEnd"/>
      <w:r>
        <w:t xml:space="preserve"> health records, must be physically secure;</w:t>
      </w:r>
      <w:r w:rsidR="00663C52" w:rsidRPr="00663C52">
        <w:t xml:space="preserve"> </w:t>
      </w:r>
    </w:p>
    <w:p w14:paraId="0A28F8E2" w14:textId="77777777" w:rsidR="00F4714E" w:rsidRDefault="00663C52" w:rsidP="00F4714E">
      <w:pPr>
        <w:pStyle w:val="ListParagraph"/>
        <w:numPr>
          <w:ilvl w:val="0"/>
          <w:numId w:val="29"/>
        </w:numPr>
        <w:ind w:left="567" w:hanging="283"/>
      </w:pPr>
      <w:r>
        <w:t xml:space="preserve">Do not leave any patient records or confidential information lying around </w:t>
      </w:r>
      <w:proofErr w:type="gramStart"/>
      <w:r>
        <w:t>unattended;</w:t>
      </w:r>
      <w:proofErr w:type="gramEnd"/>
    </w:p>
    <w:p w14:paraId="60E0A8E7" w14:textId="77777777" w:rsidR="00F4714E" w:rsidRDefault="00F4714E" w:rsidP="00F4714E">
      <w:pPr>
        <w:pStyle w:val="ListParagraph"/>
        <w:numPr>
          <w:ilvl w:val="0"/>
          <w:numId w:val="29"/>
        </w:numPr>
        <w:ind w:left="567" w:hanging="283"/>
      </w:pPr>
      <w:r>
        <w:t xml:space="preserve">The security of passwords and of access codes to locked areas must be </w:t>
      </w:r>
      <w:proofErr w:type="gramStart"/>
      <w:r>
        <w:t>maintained;</w:t>
      </w:r>
      <w:proofErr w:type="gramEnd"/>
    </w:p>
    <w:p w14:paraId="25BC859A" w14:textId="77777777" w:rsidR="00663C52" w:rsidRDefault="00F4714E" w:rsidP="00F4714E">
      <w:pPr>
        <w:pStyle w:val="ListParagraph"/>
        <w:numPr>
          <w:ilvl w:val="0"/>
          <w:numId w:val="29"/>
        </w:numPr>
        <w:ind w:left="567" w:hanging="283"/>
      </w:pPr>
      <w:r>
        <w:t xml:space="preserve">Computers must be logged-off or locked when left </w:t>
      </w:r>
      <w:proofErr w:type="gramStart"/>
      <w:r>
        <w:t>unattended;</w:t>
      </w:r>
      <w:proofErr w:type="gramEnd"/>
      <w:r w:rsidR="00663C52" w:rsidRPr="00663C52">
        <w:t xml:space="preserve"> </w:t>
      </w:r>
    </w:p>
    <w:p w14:paraId="4C5E3D10" w14:textId="77777777" w:rsidR="00663C52" w:rsidRDefault="00663C52" w:rsidP="00663C52">
      <w:pPr>
        <w:pStyle w:val="ListParagraph"/>
        <w:numPr>
          <w:ilvl w:val="0"/>
          <w:numId w:val="29"/>
        </w:numPr>
        <w:ind w:left="567" w:hanging="283"/>
      </w:pPr>
      <w:r>
        <w:t>Do not allow any computer monitors or other displays of information to be seen by members of the public or by anyone without a right to view the information.</w:t>
      </w:r>
      <w:r w:rsidRPr="00663C52">
        <w:t xml:space="preserve"> </w:t>
      </w:r>
    </w:p>
    <w:p w14:paraId="565959AA" w14:textId="77777777" w:rsidR="00663C52" w:rsidRDefault="00663C52" w:rsidP="00663C52">
      <w:pPr>
        <w:pStyle w:val="ListParagraph"/>
        <w:numPr>
          <w:ilvl w:val="0"/>
          <w:numId w:val="29"/>
        </w:numPr>
        <w:ind w:left="567" w:hanging="283"/>
      </w:pPr>
      <w:r>
        <w:t xml:space="preserve">Passwords issued to or created by employees must be regarded as confidential. They must not be communicated to anyone </w:t>
      </w:r>
      <w:proofErr w:type="gramStart"/>
      <w:r>
        <w:t>else</w:t>
      </w:r>
      <w:proofErr w:type="gramEnd"/>
      <w:r>
        <w:t xml:space="preserve"> nor should they be written down;</w:t>
      </w:r>
    </w:p>
    <w:p w14:paraId="6CE43356" w14:textId="77777777" w:rsidR="002C0D27" w:rsidRDefault="00663C52" w:rsidP="002C0D27">
      <w:pPr>
        <w:pStyle w:val="ListParagraph"/>
        <w:numPr>
          <w:ilvl w:val="0"/>
          <w:numId w:val="29"/>
        </w:numPr>
        <w:ind w:left="567" w:hanging="283"/>
      </w:pPr>
      <w:r>
        <w:t>Passwords should not indicate the employee involved or the system being accessed.</w:t>
      </w:r>
    </w:p>
    <w:p w14:paraId="43AD4D93" w14:textId="17B9D2E9" w:rsidR="002C0D27" w:rsidRDefault="002C0D27" w:rsidP="00AF5C26">
      <w:pPr>
        <w:pStyle w:val="ListParagraph"/>
        <w:numPr>
          <w:ilvl w:val="0"/>
          <w:numId w:val="29"/>
        </w:numPr>
        <w:ind w:left="567" w:hanging="283"/>
      </w:pPr>
      <w:r>
        <w:t xml:space="preserve">Passwords should not be </w:t>
      </w:r>
      <w:r w:rsidR="009D1E16">
        <w:t>o</w:t>
      </w:r>
      <w:r>
        <w:t xml:space="preserve">bvious or guessable – for example, avoid using dates of birth, family names, pet’s names or sports teams which might be known to others (or targeted through phishing emails). Passwords should never be common words/phrases such as ‘Password123’ or ‘Pa55word’. They should not be repeated where the same password is used over again. They should not be written down. </w:t>
      </w:r>
    </w:p>
    <w:p w14:paraId="759AF089" w14:textId="7003983D" w:rsidR="002C0D27" w:rsidRDefault="002C0D27" w:rsidP="00AF5C26">
      <w:pPr>
        <w:pStyle w:val="ListParagraph"/>
        <w:numPr>
          <w:ilvl w:val="0"/>
          <w:numId w:val="29"/>
        </w:numPr>
        <w:ind w:left="567" w:hanging="283"/>
      </w:pPr>
      <w:r>
        <w:t>Staff must only use Trust-approved password management software such as the Single sign-on or Imprivata</w:t>
      </w:r>
    </w:p>
    <w:p w14:paraId="54E148DD" w14:textId="77777777" w:rsidR="00663C52" w:rsidRDefault="00663C52" w:rsidP="00AF5C26"/>
    <w:p w14:paraId="61B5164F" w14:textId="77777777" w:rsidR="00663C52" w:rsidRDefault="00663C52" w:rsidP="00663C52">
      <w:r>
        <w:t>Further information about password control and format etc.</w:t>
      </w:r>
      <w:r w:rsidR="00EE48C1">
        <w:t>,</w:t>
      </w:r>
      <w:r>
        <w:t xml:space="preserve"> is given at the relevant training session or when the </w:t>
      </w:r>
      <w:proofErr w:type="gramStart"/>
      <w:r>
        <w:t>user name</w:t>
      </w:r>
      <w:proofErr w:type="gramEnd"/>
      <w:r>
        <w:t xml:space="preserve"> and password are issued.</w:t>
      </w:r>
    </w:p>
    <w:p w14:paraId="7B25AE3C" w14:textId="77777777" w:rsidR="00F4714E" w:rsidRDefault="00F4714E" w:rsidP="00663C52"/>
    <w:p w14:paraId="6F9A3652" w14:textId="77777777" w:rsidR="00F4714E" w:rsidRDefault="00F4714E" w:rsidP="00F4714E">
      <w:r>
        <w:t xml:space="preserve">Employees must not attempt to bypass or defeat the Trust’s security systems, or to obtain or use passwords or privileges issued to other employees.  Any such attempts to breach security should be reported immediately to the Information Governance team on 01793 60(5675) or via the IT Service Desk on 01793 60(5858).  Attempts to breach security may be regarded as a breach of the Computer Misuse Act 1990 and/or the Data Protection Act </w:t>
      </w:r>
      <w:proofErr w:type="gramStart"/>
      <w:r>
        <w:t>2018</w:t>
      </w:r>
      <w:r w:rsidRPr="00E07413">
        <w:t>,</w:t>
      </w:r>
      <w:r w:rsidR="00E07413" w:rsidRPr="00E07413">
        <w:t>(</w:t>
      </w:r>
      <w:proofErr w:type="gramEnd"/>
      <w:r w:rsidR="00E07413" w:rsidRPr="00E07413">
        <w:t>Ref 3</w:t>
      </w:r>
      <w:r w:rsidR="009D1C49" w:rsidRPr="00E07413">
        <w:t>)</w:t>
      </w:r>
      <w:r>
        <w:t xml:space="preserve"> which can lead to criminal action being taken against the individual(s) involved.</w:t>
      </w:r>
    </w:p>
    <w:p w14:paraId="0A22D1D1" w14:textId="77777777" w:rsidR="00663C52" w:rsidRDefault="00663C52" w:rsidP="00F4714E"/>
    <w:p w14:paraId="74D7F34C" w14:textId="77777777" w:rsidR="00F4714E" w:rsidRDefault="00F4714E" w:rsidP="00663C52">
      <w:pPr>
        <w:pStyle w:val="ListParagraph"/>
        <w:numPr>
          <w:ilvl w:val="0"/>
          <w:numId w:val="29"/>
        </w:numPr>
        <w:ind w:left="567" w:hanging="283"/>
      </w:pPr>
      <w:r>
        <w:t>All removable media and mobile devices</w:t>
      </w:r>
      <w:r w:rsidR="00663C52">
        <w:t>,</w:t>
      </w:r>
      <w:r>
        <w:t xml:space="preserve"> </w:t>
      </w:r>
      <w:r w:rsidR="00663C52">
        <w:t xml:space="preserve">including CDs and DVDs, </w:t>
      </w:r>
      <w:r>
        <w:t>used by the NHS and it</w:t>
      </w:r>
      <w:r w:rsidR="00663C52">
        <w:t xml:space="preserve">s staff must be </w:t>
      </w:r>
      <w:proofErr w:type="gramStart"/>
      <w:r w:rsidR="00663C52">
        <w:t>encrypted;</w:t>
      </w:r>
      <w:proofErr w:type="gramEnd"/>
    </w:p>
    <w:p w14:paraId="1B9DA98A" w14:textId="77777777" w:rsidR="00F4714E" w:rsidRDefault="00F4714E" w:rsidP="00663C52">
      <w:pPr>
        <w:pStyle w:val="ListParagraph"/>
        <w:numPr>
          <w:ilvl w:val="0"/>
          <w:numId w:val="29"/>
        </w:numPr>
        <w:ind w:left="567" w:hanging="283"/>
      </w:pPr>
      <w:r>
        <w:t>Only encrypted USB memory sticks can be used on Trust computers to save information</w:t>
      </w:r>
      <w:r w:rsidR="00663C52">
        <w:t xml:space="preserve"> - </w:t>
      </w:r>
      <w:r w:rsidR="00EE48C1">
        <w:t>i</w:t>
      </w:r>
      <w:r>
        <w:t>f you need to use a USB memory stick you should contact the IT Service Desk.</w:t>
      </w:r>
    </w:p>
    <w:p w14:paraId="0A7DE196" w14:textId="77777777" w:rsidR="00F4714E" w:rsidRDefault="00F4714E" w:rsidP="00663C52">
      <w:pPr>
        <w:pStyle w:val="ListParagraph"/>
        <w:numPr>
          <w:ilvl w:val="0"/>
          <w:numId w:val="29"/>
        </w:numPr>
        <w:ind w:left="567" w:hanging="283"/>
      </w:pPr>
      <w:r>
        <w:lastRenderedPageBreak/>
        <w:t xml:space="preserve">Although Trust encrypted USB memory sticks are </w:t>
      </w:r>
      <w:proofErr w:type="gramStart"/>
      <w:r>
        <w:t>secure</w:t>
      </w:r>
      <w:proofErr w:type="gramEnd"/>
      <w:r>
        <w:t xml:space="preserve"> they are still prone to corruption, loss or theft.  You must therefore only ever save information to a USB memory stick temporarily and where there is a copy securely saved to a Trust network drive.  </w:t>
      </w:r>
    </w:p>
    <w:p w14:paraId="1A43F1CA" w14:textId="77777777" w:rsidR="00F4714E" w:rsidRDefault="00F4714E" w:rsidP="00663C52">
      <w:pPr>
        <w:pStyle w:val="ListParagraph"/>
        <w:numPr>
          <w:ilvl w:val="0"/>
          <w:numId w:val="29"/>
        </w:numPr>
        <w:ind w:left="567" w:hanging="283"/>
      </w:pPr>
      <w:r>
        <w:t xml:space="preserve">Any new information saved to the USB memory stick must be copied back to the Trust network at the earliest opportunity.  </w:t>
      </w:r>
    </w:p>
    <w:p w14:paraId="3B9F91FF" w14:textId="77777777" w:rsidR="00F4714E" w:rsidRDefault="00F4714E" w:rsidP="00663C52">
      <w:pPr>
        <w:pStyle w:val="ListParagraph"/>
        <w:ind w:left="567"/>
      </w:pPr>
      <w:r>
        <w:t> </w:t>
      </w:r>
    </w:p>
    <w:p w14:paraId="73B0C5A4" w14:textId="77777777" w:rsidR="00F4714E" w:rsidRPr="00663C52" w:rsidRDefault="00F4714E" w:rsidP="00663C52">
      <w:pPr>
        <w:spacing w:before="120" w:after="120"/>
        <w:rPr>
          <w:b/>
        </w:rPr>
      </w:pPr>
      <w:r w:rsidRPr="00663C52">
        <w:rPr>
          <w:b/>
        </w:rPr>
        <w:t>Destruction of Information</w:t>
      </w:r>
    </w:p>
    <w:p w14:paraId="5F9B14E5" w14:textId="77777777" w:rsidR="00F4714E" w:rsidRDefault="00F4714E" w:rsidP="00F4714E">
      <w:r>
        <w:t xml:space="preserve">Any paper which contains </w:t>
      </w:r>
      <w:r w:rsidR="00663C52">
        <w:t xml:space="preserve">confidential </w:t>
      </w:r>
      <w:r>
        <w:t>data relating to staff, patients, or other individuals must be placed in the confidential waste bins.</w:t>
      </w:r>
      <w:r w:rsidR="00663C52">
        <w:t xml:space="preserve"> If using </w:t>
      </w:r>
      <w:r>
        <w:t>confidential waste bag</w:t>
      </w:r>
      <w:r w:rsidR="00663C52">
        <w:t>s, never leave these unattended</w:t>
      </w:r>
      <w:r>
        <w:t xml:space="preserve"> in a corridor or other unsecure area</w:t>
      </w:r>
      <w:r w:rsidR="00663C52">
        <w:t>.</w:t>
      </w:r>
    </w:p>
    <w:p w14:paraId="5B7D79D2" w14:textId="77777777" w:rsidR="00F4714E" w:rsidRDefault="00F4714E" w:rsidP="00F4714E">
      <w:r>
        <w:t>If you are not sure whether the paper you have contains confidential information, always place it in the confidential waste bins to be safe.</w:t>
      </w:r>
      <w:r w:rsidR="00663C52">
        <w:t xml:space="preserve"> </w:t>
      </w:r>
      <w:r>
        <w:t>Only paper may be placed in the confidential waste bins.</w:t>
      </w:r>
      <w:r w:rsidR="00663C52">
        <w:t xml:space="preserve"> </w:t>
      </w:r>
    </w:p>
    <w:p w14:paraId="77B744F4" w14:textId="77777777" w:rsidR="00663C52" w:rsidRDefault="00663C52" w:rsidP="00F4714E"/>
    <w:p w14:paraId="4CDD3269" w14:textId="77777777" w:rsidR="00F4714E" w:rsidRDefault="00663C52" w:rsidP="00F4714E">
      <w:r>
        <w:t>If p</w:t>
      </w:r>
      <w:r w:rsidR="00F4714E">
        <w:t xml:space="preserve">ersonal or confidential information </w:t>
      </w:r>
      <w:r>
        <w:t xml:space="preserve">is </w:t>
      </w:r>
      <w:r w:rsidR="00F4714E">
        <w:t>stored on electronic media (</w:t>
      </w:r>
      <w:proofErr w:type="gramStart"/>
      <w:r w:rsidR="00F4714E">
        <w:t>e.g.</w:t>
      </w:r>
      <w:proofErr w:type="gramEnd"/>
      <w:r w:rsidR="00F4714E">
        <w:t xml:space="preserve"> CDs, DVDs, Floppy Disks, USB Memory Sticks, etc.), please contact the IT Service Desk for advice on how to dispose of these securely.  </w:t>
      </w:r>
    </w:p>
    <w:p w14:paraId="5CE3C407" w14:textId="77777777" w:rsidR="00F4714E" w:rsidRDefault="00F4714E" w:rsidP="00F4714E"/>
    <w:p w14:paraId="28E4313D" w14:textId="77777777" w:rsidR="00F4714E" w:rsidRPr="00663C52" w:rsidRDefault="00F4714E" w:rsidP="00663C52">
      <w:pPr>
        <w:spacing w:before="120" w:after="120"/>
        <w:rPr>
          <w:b/>
        </w:rPr>
      </w:pPr>
      <w:r w:rsidRPr="00663C52">
        <w:rPr>
          <w:b/>
        </w:rPr>
        <w:t>Incident Reporting</w:t>
      </w:r>
    </w:p>
    <w:p w14:paraId="5541ABD4" w14:textId="7A77DDC7" w:rsidR="00F4714E" w:rsidRDefault="00F4714E" w:rsidP="00F4714E">
      <w:r>
        <w:t>If</w:t>
      </w:r>
      <w:r w:rsidR="00663C52">
        <w:t xml:space="preserve"> an incident occurs, i</w:t>
      </w:r>
      <w:r>
        <w:t xml:space="preserve">nform your manager and/or the Information Governance </w:t>
      </w:r>
      <w:r w:rsidR="005D0EEB">
        <w:t xml:space="preserve">Team </w:t>
      </w:r>
      <w:r>
        <w:t>as soon as possible. Usually on the day that the incident occurred or on the day that it became known</w:t>
      </w:r>
      <w:r w:rsidR="00663C52">
        <w:t xml:space="preserve">. </w:t>
      </w:r>
      <w:r>
        <w:t>Report the incident on the Trust</w:t>
      </w:r>
      <w:r w:rsidR="00663C52">
        <w:t>’s</w:t>
      </w:r>
      <w:r>
        <w:t xml:space="preserve"> </w:t>
      </w:r>
      <w:r w:rsidR="00663C52">
        <w:t>Incident Reporting System, and, i</w:t>
      </w:r>
      <w:r>
        <w:t xml:space="preserve">f you can do something to resolve the problem quickly, try to do this first. </w:t>
      </w:r>
    </w:p>
    <w:p w14:paraId="5369C678" w14:textId="77777777" w:rsidR="00663C52" w:rsidRDefault="00663C52" w:rsidP="00F4714E"/>
    <w:p w14:paraId="1BEFDD5C" w14:textId="77777777" w:rsidR="00F4714E" w:rsidRDefault="00F4714E" w:rsidP="00F4714E">
      <w:r>
        <w:t>If an employee feels that to report a breach or potential/suspected breach of confidentiality or security would compromise their position within the Trust, they may report it directly to the Information Governance team or in accordance with the Trust’s Freedom to Speak Up Policy.</w:t>
      </w:r>
    </w:p>
    <w:p w14:paraId="5C0BDE3F" w14:textId="77777777" w:rsidR="00663C52" w:rsidRDefault="00663C52" w:rsidP="00F4714E"/>
    <w:p w14:paraId="4E5A1032" w14:textId="77777777" w:rsidR="00981B9A" w:rsidRDefault="00F4714E" w:rsidP="00F4714E">
      <w:r>
        <w:t xml:space="preserve">Do not ignore or cover up incidents. Investigations </w:t>
      </w:r>
      <w:r w:rsidR="00064C7B">
        <w:t xml:space="preserve">are not against </w:t>
      </w:r>
      <w:proofErr w:type="gramStart"/>
      <w:r w:rsidR="00064C7B">
        <w:t>individuals,</w:t>
      </w:r>
      <w:proofErr w:type="gramEnd"/>
      <w:r w:rsidR="00064C7B">
        <w:t xml:space="preserve"> they </w:t>
      </w:r>
      <w:r>
        <w:t>will look into the process that was followed</w:t>
      </w:r>
      <w:r w:rsidR="00064C7B">
        <w:t xml:space="preserve"> which led to the breach. Remember, </w:t>
      </w:r>
      <w:r w:rsidR="00663C52">
        <w:t>i</w:t>
      </w:r>
      <w:r>
        <w:t>f incidents are not reported then improvements cannot be made</w:t>
      </w:r>
      <w:r w:rsidR="00064C7B">
        <w:t>.</w:t>
      </w:r>
    </w:p>
    <w:p w14:paraId="702C2AEC" w14:textId="77777777" w:rsidR="00064C7B" w:rsidRDefault="00064C7B" w:rsidP="00F4714E"/>
    <w:p w14:paraId="69779AFD" w14:textId="77777777" w:rsidR="00064C7B" w:rsidRDefault="00064C7B" w:rsidP="00064C7B">
      <w:r>
        <w:t xml:space="preserve">The ICO </w:t>
      </w:r>
      <w:proofErr w:type="gramStart"/>
      <w:r>
        <w:t>has the ability to</w:t>
      </w:r>
      <w:proofErr w:type="gramEnd"/>
      <w:r>
        <w:t xml:space="preserve"> take action against the Trust, or if the breach was deliberate or seriously negligent, against individuals. Unreported incidents or breaches with no remedial action will be considered more serious. Deliberate or seriously negligent breaches may result in disciplinary action, a criminal prosecution and/or a fine. Individuals may also be referred to their healthcare regulator if it is deemed that their fitness to practise may be impaired</w:t>
      </w:r>
      <w:r w:rsidR="006D5790">
        <w:t xml:space="preserve"> or there has been a deliberate breach of their respective codes of practice, ethics or confidentiality</w:t>
      </w:r>
      <w:r>
        <w:t xml:space="preserve">. </w:t>
      </w:r>
    </w:p>
    <w:p w14:paraId="2C81D479" w14:textId="77777777" w:rsidR="00064C7B" w:rsidRPr="00981B9A" w:rsidRDefault="00064C7B" w:rsidP="00F4714E"/>
    <w:sectPr w:rsidR="00064C7B" w:rsidRPr="00981B9A" w:rsidSect="00E219D7">
      <w:pgSz w:w="11906" w:h="16838"/>
      <w:pgMar w:top="1134"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4510" w14:textId="77777777" w:rsidR="00D701A7" w:rsidRDefault="00D701A7" w:rsidP="00E00446">
      <w:r>
        <w:separator/>
      </w:r>
    </w:p>
  </w:endnote>
  <w:endnote w:type="continuationSeparator" w:id="0">
    <w:p w14:paraId="2D88B47F" w14:textId="77777777" w:rsidR="00D701A7" w:rsidRDefault="00D701A7"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2933"/>
    </w:tblGrid>
    <w:tr w:rsidR="00D701A7" w14:paraId="768575D0" w14:textId="77777777">
      <w:tc>
        <w:tcPr>
          <w:tcW w:w="0" w:type="auto"/>
          <w:gridSpan w:val="2"/>
        </w:tcPr>
        <w:p w14:paraId="2977DDD1" w14:textId="77777777" w:rsidR="00D701A7" w:rsidRPr="00E00446" w:rsidRDefault="00D701A7" w:rsidP="00E00446">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D701A7" w14:paraId="05BA0659" w14:textId="77777777">
      <w:tc>
        <w:tcPr>
          <w:tcW w:w="0" w:type="auto"/>
        </w:tcPr>
        <w:p w14:paraId="79059310" w14:textId="153E4911" w:rsidR="00D701A7" w:rsidRDefault="00D701A7" w:rsidP="00805902">
          <w:pPr>
            <w:jc w:val="left"/>
            <w:rPr>
              <w:rFonts w:eastAsia="Arial" w:cs="Arial"/>
              <w:color w:val="000000"/>
              <w:sz w:val="16"/>
            </w:rPr>
          </w:pPr>
          <w:r>
            <w:rPr>
              <w:rFonts w:eastAsia="Arial" w:cs="Arial"/>
              <w:color w:val="000000"/>
              <w:sz w:val="16"/>
            </w:rPr>
            <w:t>Version 2.0</w:t>
          </w:r>
        </w:p>
      </w:tc>
      <w:tc>
        <w:tcPr>
          <w:tcW w:w="0" w:type="auto"/>
        </w:tcPr>
        <w:p w14:paraId="65E7B93B" w14:textId="77777777" w:rsidR="00D701A7" w:rsidRDefault="00D701A7">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3</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35</w:t>
          </w:r>
          <w:r>
            <w:rPr>
              <w:rFonts w:eastAsia="Arial" w:cs="Arial"/>
              <w:color w:val="000000"/>
              <w:sz w:val="16"/>
            </w:rPr>
            <w:fldChar w:fldCharType="end"/>
          </w:r>
        </w:p>
      </w:tc>
    </w:tr>
    <w:tr w:rsidR="00D701A7" w14:paraId="1DBF110A" w14:textId="77777777">
      <w:trPr>
        <w:gridAfter w:val="1"/>
      </w:trPr>
      <w:tc>
        <w:tcPr>
          <w:tcW w:w="0" w:type="auto"/>
        </w:tcPr>
        <w:p w14:paraId="4C9225C0" w14:textId="78321485" w:rsidR="00D701A7" w:rsidRDefault="00D701A7">
          <w:pPr>
            <w:jc w:val="left"/>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Pr>
              <w:rFonts w:eastAsia="Arial" w:cs="Arial"/>
              <w:noProof/>
              <w:color w:val="000000"/>
              <w:sz w:val="16"/>
            </w:rPr>
            <w:t>26/11/2021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Pr>
              <w:rFonts w:eastAsia="Arial" w:cs="Arial"/>
              <w:noProof/>
              <w:color w:val="000000"/>
              <w:sz w:val="16"/>
            </w:rPr>
            <w:t>2:10 PM</w:t>
          </w:r>
          <w:r>
            <w:rPr>
              <w:rFonts w:eastAsia="Arial" w:cs="Arial"/>
              <w:color w:val="000000"/>
              <w:sz w:val="16"/>
            </w:rPr>
            <w:fldChar w:fldCharType="end"/>
          </w:r>
        </w:p>
      </w:tc>
    </w:tr>
  </w:tbl>
  <w:p w14:paraId="45FD81C0" w14:textId="77777777" w:rsidR="00D701A7" w:rsidRDefault="00D701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85662818"/>
      <w:docPartObj>
        <w:docPartGallery w:val="Page Numbers (Bottom of Page)"/>
        <w:docPartUnique/>
      </w:docPartObj>
    </w:sdtPr>
    <w:sdtContent>
      <w:sdt>
        <w:sdtPr>
          <w:rPr>
            <w:sz w:val="20"/>
          </w:rPr>
          <w:id w:val="-1669238322"/>
          <w:docPartObj>
            <w:docPartGallery w:val="Page Numbers (Top of Page)"/>
            <w:docPartUnique/>
          </w:docPartObj>
        </w:sdtPr>
        <w:sdtContent>
          <w:p w14:paraId="25E5D7EC" w14:textId="77777777" w:rsidR="00D701A7" w:rsidRDefault="00D701A7">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Pr>
                <w:b/>
                <w:bCs/>
                <w:noProof/>
                <w:sz w:val="20"/>
              </w:rPr>
              <w:t>2</w:t>
            </w:r>
            <w:r w:rsidRPr="009238B9">
              <w:rPr>
                <w:b/>
                <w:bCs/>
                <w:szCs w:val="24"/>
              </w:rPr>
              <w:fldChar w:fldCharType="end"/>
            </w:r>
          </w:p>
          <w:p w14:paraId="7D993054" w14:textId="77777777" w:rsidR="00D701A7" w:rsidRPr="009238B9" w:rsidRDefault="00D701A7" w:rsidP="009238B9">
            <w:pPr>
              <w:pStyle w:val="Footer"/>
              <w:jc w:val="left"/>
              <w:rPr>
                <w:sz w:val="20"/>
              </w:rPr>
            </w:pPr>
            <w:r>
              <w:rPr>
                <w:noProof/>
                <w:sz w:val="20"/>
                <w:lang w:eastAsia="en-GB"/>
              </w:rPr>
              <w:drawing>
                <wp:inline distT="0" distB="0" distL="0" distR="0" wp14:anchorId="4F1D48D9" wp14:editId="31807D9B">
                  <wp:extent cx="1737360" cy="140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78DFFE2C" w14:textId="77777777" w:rsidR="00D701A7" w:rsidRDefault="00D70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D701A7" w14:paraId="57C2AFD7" w14:textId="77777777" w:rsidTr="001734F0">
      <w:tc>
        <w:tcPr>
          <w:tcW w:w="5000" w:type="pct"/>
          <w:gridSpan w:val="2"/>
        </w:tcPr>
        <w:p w14:paraId="229F63C1" w14:textId="77777777" w:rsidR="00D701A7" w:rsidRPr="00183F66" w:rsidRDefault="00D701A7"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D701A7" w14:paraId="1C8AB8E2" w14:textId="77777777" w:rsidTr="001734F0">
      <w:tc>
        <w:tcPr>
          <w:tcW w:w="3530" w:type="pct"/>
        </w:tcPr>
        <w:p w14:paraId="62E0A4F1" w14:textId="53743E37" w:rsidR="00D701A7" w:rsidRDefault="00D701A7" w:rsidP="00805902">
          <w:pPr>
            <w:rPr>
              <w:rFonts w:eastAsia="Arial" w:cs="Arial"/>
              <w:color w:val="000000"/>
              <w:sz w:val="16"/>
            </w:rPr>
          </w:pPr>
          <w:r>
            <w:rPr>
              <w:rFonts w:eastAsia="Arial" w:cs="Arial"/>
              <w:color w:val="000000"/>
              <w:sz w:val="16"/>
            </w:rPr>
            <w:t xml:space="preserve">Version 2.0 </w:t>
          </w:r>
        </w:p>
      </w:tc>
      <w:tc>
        <w:tcPr>
          <w:tcW w:w="1470" w:type="pct"/>
        </w:tcPr>
        <w:p w14:paraId="5F24A996" w14:textId="77777777" w:rsidR="00D701A7" w:rsidRDefault="00D701A7">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12</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35</w:t>
          </w:r>
          <w:r>
            <w:rPr>
              <w:rFonts w:eastAsia="Arial" w:cs="Arial"/>
              <w:color w:val="000000"/>
              <w:sz w:val="16"/>
            </w:rPr>
            <w:fldChar w:fldCharType="end"/>
          </w:r>
        </w:p>
      </w:tc>
    </w:tr>
    <w:tr w:rsidR="00D701A7" w14:paraId="03585646" w14:textId="77777777" w:rsidTr="001734F0">
      <w:trPr>
        <w:gridAfter w:val="1"/>
        <w:wAfter w:w="1470" w:type="pct"/>
      </w:trPr>
      <w:tc>
        <w:tcPr>
          <w:tcW w:w="3530" w:type="pct"/>
        </w:tcPr>
        <w:p w14:paraId="10E38454" w14:textId="12FF95F9" w:rsidR="00D701A7" w:rsidRDefault="00D701A7">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Pr>
              <w:rFonts w:eastAsia="Arial" w:cs="Arial"/>
              <w:noProof/>
              <w:color w:val="000000"/>
              <w:sz w:val="16"/>
            </w:rPr>
            <w:t>26/11/2021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Pr>
              <w:rFonts w:eastAsia="Arial" w:cs="Arial"/>
              <w:noProof/>
              <w:color w:val="000000"/>
              <w:sz w:val="16"/>
            </w:rPr>
            <w:t>2:10 PM</w:t>
          </w:r>
          <w:r>
            <w:rPr>
              <w:rFonts w:eastAsia="Arial" w:cs="Arial"/>
              <w:color w:val="000000"/>
              <w:sz w:val="16"/>
            </w:rPr>
            <w:fldChar w:fldCharType="end"/>
          </w:r>
        </w:p>
      </w:tc>
    </w:tr>
  </w:tbl>
  <w:p w14:paraId="6EF2610B" w14:textId="77777777" w:rsidR="00D701A7" w:rsidRDefault="00D701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1788"/>
    </w:tblGrid>
    <w:tr w:rsidR="00D701A7" w14:paraId="4EA3907D" w14:textId="77777777" w:rsidTr="00402E08">
      <w:tc>
        <w:tcPr>
          <w:tcW w:w="5000" w:type="pct"/>
          <w:gridSpan w:val="2"/>
        </w:tcPr>
        <w:p w14:paraId="04446356" w14:textId="77777777" w:rsidR="00D701A7" w:rsidRPr="00183F66" w:rsidRDefault="00D701A7" w:rsidP="00F35E5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D701A7" w14:paraId="0EC657D9" w14:textId="77777777" w:rsidTr="00402E08">
      <w:tc>
        <w:tcPr>
          <w:tcW w:w="3530" w:type="pct"/>
        </w:tcPr>
        <w:p w14:paraId="73EAF8BA" w14:textId="129DD3D2" w:rsidR="00D701A7" w:rsidRDefault="00D701A7" w:rsidP="00F35E50">
          <w:pPr>
            <w:rPr>
              <w:rFonts w:eastAsia="Arial" w:cs="Arial"/>
              <w:color w:val="000000"/>
              <w:sz w:val="16"/>
            </w:rPr>
          </w:pPr>
          <w:r>
            <w:rPr>
              <w:rFonts w:eastAsia="Arial" w:cs="Arial"/>
              <w:color w:val="000000"/>
              <w:sz w:val="16"/>
            </w:rPr>
            <w:t>Version 2.0</w:t>
          </w:r>
        </w:p>
      </w:tc>
      <w:tc>
        <w:tcPr>
          <w:tcW w:w="1470" w:type="pct"/>
        </w:tcPr>
        <w:p w14:paraId="1854F84D" w14:textId="77777777" w:rsidR="00D701A7" w:rsidRDefault="00D701A7" w:rsidP="00F35E50">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25</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35</w:t>
          </w:r>
          <w:r>
            <w:rPr>
              <w:rFonts w:eastAsia="Arial" w:cs="Arial"/>
              <w:color w:val="000000"/>
              <w:sz w:val="16"/>
            </w:rPr>
            <w:fldChar w:fldCharType="end"/>
          </w:r>
        </w:p>
      </w:tc>
    </w:tr>
    <w:tr w:rsidR="00D701A7" w14:paraId="253DC7AC" w14:textId="77777777" w:rsidTr="00402E08">
      <w:trPr>
        <w:gridAfter w:val="1"/>
        <w:wAfter w:w="1470" w:type="pct"/>
      </w:trPr>
      <w:tc>
        <w:tcPr>
          <w:tcW w:w="3530" w:type="pct"/>
        </w:tcPr>
        <w:p w14:paraId="6A24EA4F" w14:textId="04A5F523" w:rsidR="00D701A7" w:rsidRDefault="00D701A7" w:rsidP="00F35E50">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Pr>
              <w:rFonts w:eastAsia="Arial" w:cs="Arial"/>
              <w:noProof/>
              <w:color w:val="000000"/>
              <w:sz w:val="16"/>
            </w:rPr>
            <w:t>26/11/2021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Pr>
              <w:rFonts w:eastAsia="Arial" w:cs="Arial"/>
              <w:noProof/>
              <w:color w:val="000000"/>
              <w:sz w:val="16"/>
            </w:rPr>
            <w:t>2:10 PM</w:t>
          </w:r>
          <w:r>
            <w:rPr>
              <w:rFonts w:eastAsia="Arial" w:cs="Arial"/>
              <w:color w:val="000000"/>
              <w:sz w:val="16"/>
            </w:rPr>
            <w:fldChar w:fldCharType="end"/>
          </w:r>
        </w:p>
      </w:tc>
    </w:tr>
  </w:tbl>
  <w:p w14:paraId="4E21C556" w14:textId="77777777" w:rsidR="00D701A7" w:rsidRDefault="00D701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3B7D" w14:textId="77777777" w:rsidR="00D701A7" w:rsidRDefault="00D701A7" w:rsidP="00E00446">
      <w:r>
        <w:separator/>
      </w:r>
    </w:p>
  </w:footnote>
  <w:footnote w:type="continuationSeparator" w:id="0">
    <w:p w14:paraId="0F317667" w14:textId="77777777" w:rsidR="00D701A7" w:rsidRDefault="00D701A7"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D3CE" w14:textId="77777777" w:rsidR="00D701A7" w:rsidRDefault="00D701A7" w:rsidP="009238B9">
    <w:pPr>
      <w:jc w:val="right"/>
      <w:rPr>
        <w:rFonts w:eastAsia="Arial" w:cs="Arial"/>
        <w:color w:val="000000"/>
        <w:sz w:val="20"/>
      </w:rPr>
    </w:pPr>
    <w:r>
      <w:rPr>
        <w:rFonts w:eastAsia="Arial" w:cs="Arial"/>
        <w:color w:val="000000"/>
        <w:sz w:val="20"/>
      </w:rPr>
      <w:t xml:space="preserve">Document Title: Information Governance Policy </w:t>
    </w:r>
    <w:r>
      <w:rPr>
        <w:noProof/>
        <w:lang w:eastAsia="en-GB"/>
      </w:rPr>
      <w:drawing>
        <wp:inline distT="0" distB="0" distL="0" distR="0" wp14:anchorId="2DF5D56C" wp14:editId="4B0955E0">
          <wp:extent cx="1609344" cy="487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279E4381" w14:textId="77777777" w:rsidR="00D701A7" w:rsidRDefault="00D701A7" w:rsidP="009238B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67C5" w14:textId="77777777" w:rsidR="00D701A7" w:rsidRDefault="00D701A7" w:rsidP="009238B9">
    <w:pPr>
      <w:pStyle w:val="Header"/>
      <w:jc w:val="right"/>
    </w:pPr>
    <w:r>
      <w:rPr>
        <w:noProof/>
        <w:lang w:eastAsia="en-GB"/>
      </w:rPr>
      <w:drawing>
        <wp:anchor distT="0" distB="0" distL="114300" distR="114300" simplePos="0" relativeHeight="251653632" behindDoc="1" locked="0" layoutInCell="1" allowOverlap="1" wp14:anchorId="4030516C" wp14:editId="18B072B4">
          <wp:simplePos x="0" y="0"/>
          <wp:positionH relativeFrom="column">
            <wp:posOffset>-487045</wp:posOffset>
          </wp:positionH>
          <wp:positionV relativeFrom="paragraph">
            <wp:posOffset>-357505</wp:posOffset>
          </wp:positionV>
          <wp:extent cx="2203450" cy="4295140"/>
          <wp:effectExtent l="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42D2E65" wp14:editId="1459ABB7">
          <wp:extent cx="1609344" cy="48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7722A730" w14:textId="77777777" w:rsidR="00D701A7" w:rsidRDefault="00D701A7"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4BE"/>
    <w:multiLevelType w:val="hybridMultilevel"/>
    <w:tmpl w:val="ACC4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66229"/>
    <w:multiLevelType w:val="hybridMultilevel"/>
    <w:tmpl w:val="35F2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A221F"/>
    <w:multiLevelType w:val="hybridMultilevel"/>
    <w:tmpl w:val="5F163D0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96266"/>
    <w:multiLevelType w:val="multilevel"/>
    <w:tmpl w:val="63AC23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B2E0E"/>
    <w:multiLevelType w:val="hybridMultilevel"/>
    <w:tmpl w:val="3256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34AB"/>
    <w:multiLevelType w:val="hybridMultilevel"/>
    <w:tmpl w:val="86A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40700"/>
    <w:multiLevelType w:val="multilevel"/>
    <w:tmpl w:val="8B84D4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512555"/>
    <w:multiLevelType w:val="hybridMultilevel"/>
    <w:tmpl w:val="D7AA2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086BB1"/>
    <w:multiLevelType w:val="hybridMultilevel"/>
    <w:tmpl w:val="E2BCF2BA"/>
    <w:lvl w:ilvl="0" w:tplc="81DAFA12">
      <w:start w:val="1"/>
      <w:numFmt w:val="bullet"/>
      <w:lvlText w:val=""/>
      <w:lvlJc w:val="left"/>
      <w:pPr>
        <w:tabs>
          <w:tab w:val="num" w:pos="928"/>
        </w:tabs>
        <w:ind w:left="928" w:hanging="360"/>
      </w:pPr>
      <w:rPr>
        <w:rFonts w:ascii="Symbol" w:hAnsi="Symbol" w:hint="default"/>
        <w:sz w:val="18"/>
        <w:szCs w:val="18"/>
      </w:rPr>
    </w:lvl>
    <w:lvl w:ilvl="1" w:tplc="36D01142" w:tentative="1">
      <w:start w:val="1"/>
      <w:numFmt w:val="bullet"/>
      <w:lvlText w:val="o"/>
      <w:lvlJc w:val="left"/>
      <w:pPr>
        <w:tabs>
          <w:tab w:val="num" w:pos="1648"/>
        </w:tabs>
        <w:ind w:left="1648" w:hanging="360"/>
      </w:pPr>
      <w:rPr>
        <w:rFonts w:ascii="Courier New" w:hAnsi="Courier New" w:cs="Courier New" w:hint="default"/>
      </w:rPr>
    </w:lvl>
    <w:lvl w:ilvl="2" w:tplc="8A02EB12" w:tentative="1">
      <w:start w:val="1"/>
      <w:numFmt w:val="bullet"/>
      <w:lvlText w:val=""/>
      <w:lvlJc w:val="left"/>
      <w:pPr>
        <w:tabs>
          <w:tab w:val="num" w:pos="2368"/>
        </w:tabs>
        <w:ind w:left="2368" w:hanging="360"/>
      </w:pPr>
      <w:rPr>
        <w:rFonts w:ascii="Wingdings" w:hAnsi="Wingdings" w:hint="default"/>
      </w:rPr>
    </w:lvl>
    <w:lvl w:ilvl="3" w:tplc="D22A4404" w:tentative="1">
      <w:start w:val="1"/>
      <w:numFmt w:val="bullet"/>
      <w:lvlText w:val=""/>
      <w:lvlJc w:val="left"/>
      <w:pPr>
        <w:tabs>
          <w:tab w:val="num" w:pos="3088"/>
        </w:tabs>
        <w:ind w:left="3088" w:hanging="360"/>
      </w:pPr>
      <w:rPr>
        <w:rFonts w:ascii="Symbol" w:hAnsi="Symbol" w:hint="default"/>
      </w:rPr>
    </w:lvl>
    <w:lvl w:ilvl="4" w:tplc="A24A6C02" w:tentative="1">
      <w:start w:val="1"/>
      <w:numFmt w:val="bullet"/>
      <w:lvlText w:val="o"/>
      <w:lvlJc w:val="left"/>
      <w:pPr>
        <w:tabs>
          <w:tab w:val="num" w:pos="3808"/>
        </w:tabs>
        <w:ind w:left="3808" w:hanging="360"/>
      </w:pPr>
      <w:rPr>
        <w:rFonts w:ascii="Courier New" w:hAnsi="Courier New" w:cs="Courier New" w:hint="default"/>
      </w:rPr>
    </w:lvl>
    <w:lvl w:ilvl="5" w:tplc="01883CE6" w:tentative="1">
      <w:start w:val="1"/>
      <w:numFmt w:val="bullet"/>
      <w:lvlText w:val=""/>
      <w:lvlJc w:val="left"/>
      <w:pPr>
        <w:tabs>
          <w:tab w:val="num" w:pos="4528"/>
        </w:tabs>
        <w:ind w:left="4528" w:hanging="360"/>
      </w:pPr>
      <w:rPr>
        <w:rFonts w:ascii="Wingdings" w:hAnsi="Wingdings" w:hint="default"/>
      </w:rPr>
    </w:lvl>
    <w:lvl w:ilvl="6" w:tplc="CB12178C" w:tentative="1">
      <w:start w:val="1"/>
      <w:numFmt w:val="bullet"/>
      <w:lvlText w:val=""/>
      <w:lvlJc w:val="left"/>
      <w:pPr>
        <w:tabs>
          <w:tab w:val="num" w:pos="5248"/>
        </w:tabs>
        <w:ind w:left="5248" w:hanging="360"/>
      </w:pPr>
      <w:rPr>
        <w:rFonts w:ascii="Symbol" w:hAnsi="Symbol" w:hint="default"/>
      </w:rPr>
    </w:lvl>
    <w:lvl w:ilvl="7" w:tplc="D264FDA0" w:tentative="1">
      <w:start w:val="1"/>
      <w:numFmt w:val="bullet"/>
      <w:lvlText w:val="o"/>
      <w:lvlJc w:val="left"/>
      <w:pPr>
        <w:tabs>
          <w:tab w:val="num" w:pos="5968"/>
        </w:tabs>
        <w:ind w:left="5968" w:hanging="360"/>
      </w:pPr>
      <w:rPr>
        <w:rFonts w:ascii="Courier New" w:hAnsi="Courier New" w:cs="Courier New" w:hint="default"/>
      </w:rPr>
    </w:lvl>
    <w:lvl w:ilvl="8" w:tplc="8B0CCF8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8D1176B"/>
    <w:multiLevelType w:val="hybridMultilevel"/>
    <w:tmpl w:val="253C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190E"/>
    <w:multiLevelType w:val="multilevel"/>
    <w:tmpl w:val="A0928B2C"/>
    <w:lvl w:ilvl="0">
      <w:start w:val="1"/>
      <w:numFmt w:val="decimal"/>
      <w:lvlText w:val="%1"/>
      <w:lvlJc w:val="left"/>
      <w:pPr>
        <w:ind w:left="1077" w:hanging="357"/>
      </w:pPr>
      <w:rPr>
        <w:rFonts w:hint="default"/>
      </w:rPr>
    </w:lvl>
    <w:lvl w:ilvl="1">
      <w:start w:val="1"/>
      <w:numFmt w:val="decimal"/>
      <w:lvlText w:val="%1.%2"/>
      <w:lvlJc w:val="left"/>
      <w:pPr>
        <w:tabs>
          <w:tab w:val="num" w:pos="1002"/>
        </w:tabs>
        <w:ind w:left="783" w:hanging="357"/>
      </w:pPr>
      <w:rPr>
        <w:rFonts w:hint="default"/>
      </w:rPr>
    </w:lvl>
    <w:lvl w:ilvl="2">
      <w:start w:val="1"/>
      <w:numFmt w:val="decimal"/>
      <w:lvlRestart w:val="1"/>
      <w:lvlText w:val="%1.%2.%3"/>
      <w:lvlJc w:val="left"/>
      <w:pPr>
        <w:tabs>
          <w:tab w:val="num" w:pos="1440"/>
        </w:tabs>
        <w:ind w:left="107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11" w15:restartNumberingAfterBreak="0">
    <w:nsid w:val="2AA06631"/>
    <w:multiLevelType w:val="hybridMultilevel"/>
    <w:tmpl w:val="2AE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F333B"/>
    <w:multiLevelType w:val="hybridMultilevel"/>
    <w:tmpl w:val="2B6AF4FE"/>
    <w:lvl w:ilvl="0" w:tplc="3DD8F10C">
      <w:start w:val="1"/>
      <w:numFmt w:val="bullet"/>
      <w:lvlText w:val=""/>
      <w:lvlJc w:val="left"/>
      <w:pPr>
        <w:ind w:left="644" w:hanging="360"/>
      </w:pPr>
      <w:rPr>
        <w:rFonts w:ascii="Symbol" w:hAnsi="Symbol" w:hint="default"/>
      </w:rPr>
    </w:lvl>
    <w:lvl w:ilvl="1" w:tplc="FB72E21E" w:tentative="1">
      <w:start w:val="1"/>
      <w:numFmt w:val="bullet"/>
      <w:lvlText w:val="o"/>
      <w:lvlJc w:val="left"/>
      <w:pPr>
        <w:ind w:left="1364" w:hanging="360"/>
      </w:pPr>
      <w:rPr>
        <w:rFonts w:ascii="Courier New" w:hAnsi="Courier New" w:cs="Courier New" w:hint="default"/>
      </w:rPr>
    </w:lvl>
    <w:lvl w:ilvl="2" w:tplc="17E07304" w:tentative="1">
      <w:start w:val="1"/>
      <w:numFmt w:val="bullet"/>
      <w:lvlText w:val=""/>
      <w:lvlJc w:val="left"/>
      <w:pPr>
        <w:ind w:left="2084" w:hanging="360"/>
      </w:pPr>
      <w:rPr>
        <w:rFonts w:ascii="Wingdings" w:hAnsi="Wingdings" w:hint="default"/>
      </w:rPr>
    </w:lvl>
    <w:lvl w:ilvl="3" w:tplc="CD8E70A6" w:tentative="1">
      <w:start w:val="1"/>
      <w:numFmt w:val="bullet"/>
      <w:lvlText w:val=""/>
      <w:lvlJc w:val="left"/>
      <w:pPr>
        <w:ind w:left="2804" w:hanging="360"/>
      </w:pPr>
      <w:rPr>
        <w:rFonts w:ascii="Symbol" w:hAnsi="Symbol" w:hint="default"/>
      </w:rPr>
    </w:lvl>
    <w:lvl w:ilvl="4" w:tplc="122456C2" w:tentative="1">
      <w:start w:val="1"/>
      <w:numFmt w:val="bullet"/>
      <w:lvlText w:val="o"/>
      <w:lvlJc w:val="left"/>
      <w:pPr>
        <w:ind w:left="3524" w:hanging="360"/>
      </w:pPr>
      <w:rPr>
        <w:rFonts w:ascii="Courier New" w:hAnsi="Courier New" w:cs="Courier New" w:hint="default"/>
      </w:rPr>
    </w:lvl>
    <w:lvl w:ilvl="5" w:tplc="B29A63C2" w:tentative="1">
      <w:start w:val="1"/>
      <w:numFmt w:val="bullet"/>
      <w:lvlText w:val=""/>
      <w:lvlJc w:val="left"/>
      <w:pPr>
        <w:ind w:left="4244" w:hanging="360"/>
      </w:pPr>
      <w:rPr>
        <w:rFonts w:ascii="Wingdings" w:hAnsi="Wingdings" w:hint="default"/>
      </w:rPr>
    </w:lvl>
    <w:lvl w:ilvl="6" w:tplc="7870E962" w:tentative="1">
      <w:start w:val="1"/>
      <w:numFmt w:val="bullet"/>
      <w:lvlText w:val=""/>
      <w:lvlJc w:val="left"/>
      <w:pPr>
        <w:ind w:left="4964" w:hanging="360"/>
      </w:pPr>
      <w:rPr>
        <w:rFonts w:ascii="Symbol" w:hAnsi="Symbol" w:hint="default"/>
      </w:rPr>
    </w:lvl>
    <w:lvl w:ilvl="7" w:tplc="F12E2168" w:tentative="1">
      <w:start w:val="1"/>
      <w:numFmt w:val="bullet"/>
      <w:lvlText w:val="o"/>
      <w:lvlJc w:val="left"/>
      <w:pPr>
        <w:ind w:left="5684" w:hanging="360"/>
      </w:pPr>
      <w:rPr>
        <w:rFonts w:ascii="Courier New" w:hAnsi="Courier New" w:cs="Courier New" w:hint="default"/>
      </w:rPr>
    </w:lvl>
    <w:lvl w:ilvl="8" w:tplc="1EF4D5D8" w:tentative="1">
      <w:start w:val="1"/>
      <w:numFmt w:val="bullet"/>
      <w:lvlText w:val=""/>
      <w:lvlJc w:val="left"/>
      <w:pPr>
        <w:ind w:left="6404" w:hanging="360"/>
      </w:pPr>
      <w:rPr>
        <w:rFonts w:ascii="Wingdings" w:hAnsi="Wingdings" w:hint="default"/>
      </w:rPr>
    </w:lvl>
  </w:abstractNum>
  <w:abstractNum w:abstractNumId="13" w15:restartNumberingAfterBreak="0">
    <w:nsid w:val="32411E50"/>
    <w:multiLevelType w:val="hybridMultilevel"/>
    <w:tmpl w:val="C1AECCEA"/>
    <w:lvl w:ilvl="0" w:tplc="912E1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01EA5"/>
    <w:multiLevelType w:val="multilevel"/>
    <w:tmpl w:val="7AA221C6"/>
    <w:lvl w:ilvl="0">
      <w:start w:val="4"/>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607402"/>
    <w:multiLevelType w:val="hybridMultilevel"/>
    <w:tmpl w:val="9D289B9C"/>
    <w:lvl w:ilvl="0" w:tplc="9586C366">
      <w:start w:val="1"/>
      <w:numFmt w:val="bullet"/>
      <w:lvlText w:val=""/>
      <w:lvlJc w:val="left"/>
      <w:pPr>
        <w:ind w:left="831" w:hanging="360"/>
      </w:pPr>
      <w:rPr>
        <w:rFonts w:ascii="Symbol" w:hAnsi="Symbol" w:hint="default"/>
      </w:rPr>
    </w:lvl>
    <w:lvl w:ilvl="1" w:tplc="932224F8" w:tentative="1">
      <w:start w:val="1"/>
      <w:numFmt w:val="bullet"/>
      <w:lvlText w:val="o"/>
      <w:lvlJc w:val="left"/>
      <w:pPr>
        <w:ind w:left="1551" w:hanging="360"/>
      </w:pPr>
      <w:rPr>
        <w:rFonts w:ascii="Courier New" w:hAnsi="Courier New" w:cs="Courier New" w:hint="default"/>
      </w:rPr>
    </w:lvl>
    <w:lvl w:ilvl="2" w:tplc="A1220498" w:tentative="1">
      <w:start w:val="1"/>
      <w:numFmt w:val="bullet"/>
      <w:lvlText w:val=""/>
      <w:lvlJc w:val="left"/>
      <w:pPr>
        <w:ind w:left="2271" w:hanging="360"/>
      </w:pPr>
      <w:rPr>
        <w:rFonts w:ascii="Wingdings" w:hAnsi="Wingdings" w:hint="default"/>
      </w:rPr>
    </w:lvl>
    <w:lvl w:ilvl="3" w:tplc="736A49EE" w:tentative="1">
      <w:start w:val="1"/>
      <w:numFmt w:val="bullet"/>
      <w:lvlText w:val=""/>
      <w:lvlJc w:val="left"/>
      <w:pPr>
        <w:ind w:left="2991" w:hanging="360"/>
      </w:pPr>
      <w:rPr>
        <w:rFonts w:ascii="Symbol" w:hAnsi="Symbol" w:hint="default"/>
      </w:rPr>
    </w:lvl>
    <w:lvl w:ilvl="4" w:tplc="B48616D2" w:tentative="1">
      <w:start w:val="1"/>
      <w:numFmt w:val="bullet"/>
      <w:lvlText w:val="o"/>
      <w:lvlJc w:val="left"/>
      <w:pPr>
        <w:ind w:left="3711" w:hanging="360"/>
      </w:pPr>
      <w:rPr>
        <w:rFonts w:ascii="Courier New" w:hAnsi="Courier New" w:cs="Courier New" w:hint="default"/>
      </w:rPr>
    </w:lvl>
    <w:lvl w:ilvl="5" w:tplc="CA220F84" w:tentative="1">
      <w:start w:val="1"/>
      <w:numFmt w:val="bullet"/>
      <w:lvlText w:val=""/>
      <w:lvlJc w:val="left"/>
      <w:pPr>
        <w:ind w:left="4431" w:hanging="360"/>
      </w:pPr>
      <w:rPr>
        <w:rFonts w:ascii="Wingdings" w:hAnsi="Wingdings" w:hint="default"/>
      </w:rPr>
    </w:lvl>
    <w:lvl w:ilvl="6" w:tplc="7982D72A" w:tentative="1">
      <w:start w:val="1"/>
      <w:numFmt w:val="bullet"/>
      <w:lvlText w:val=""/>
      <w:lvlJc w:val="left"/>
      <w:pPr>
        <w:ind w:left="5151" w:hanging="360"/>
      </w:pPr>
      <w:rPr>
        <w:rFonts w:ascii="Symbol" w:hAnsi="Symbol" w:hint="default"/>
      </w:rPr>
    </w:lvl>
    <w:lvl w:ilvl="7" w:tplc="FB463B36" w:tentative="1">
      <w:start w:val="1"/>
      <w:numFmt w:val="bullet"/>
      <w:lvlText w:val="o"/>
      <w:lvlJc w:val="left"/>
      <w:pPr>
        <w:ind w:left="5871" w:hanging="360"/>
      </w:pPr>
      <w:rPr>
        <w:rFonts w:ascii="Courier New" w:hAnsi="Courier New" w:cs="Courier New" w:hint="default"/>
      </w:rPr>
    </w:lvl>
    <w:lvl w:ilvl="8" w:tplc="E3281CD6" w:tentative="1">
      <w:start w:val="1"/>
      <w:numFmt w:val="bullet"/>
      <w:lvlText w:val=""/>
      <w:lvlJc w:val="left"/>
      <w:pPr>
        <w:ind w:left="6591" w:hanging="360"/>
      </w:pPr>
      <w:rPr>
        <w:rFonts w:ascii="Wingdings" w:hAnsi="Wingdings" w:hint="default"/>
      </w:rPr>
    </w:lvl>
  </w:abstractNum>
  <w:abstractNum w:abstractNumId="16" w15:restartNumberingAfterBreak="0">
    <w:nsid w:val="34B410EC"/>
    <w:multiLevelType w:val="hybridMultilevel"/>
    <w:tmpl w:val="E68A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B1DA7"/>
    <w:multiLevelType w:val="hybridMultilevel"/>
    <w:tmpl w:val="1400A7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ABC407D"/>
    <w:multiLevelType w:val="hybridMultilevel"/>
    <w:tmpl w:val="856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E271F"/>
    <w:multiLevelType w:val="hybridMultilevel"/>
    <w:tmpl w:val="A02C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66EC9"/>
    <w:multiLevelType w:val="hybridMultilevel"/>
    <w:tmpl w:val="BC0E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4534E"/>
    <w:multiLevelType w:val="hybridMultilevel"/>
    <w:tmpl w:val="7270C52A"/>
    <w:lvl w:ilvl="0" w:tplc="863A054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881C2D"/>
    <w:multiLevelType w:val="multilevel"/>
    <w:tmpl w:val="3B6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24" w15:restartNumberingAfterBreak="0">
    <w:nsid w:val="557B16BD"/>
    <w:multiLevelType w:val="hybridMultilevel"/>
    <w:tmpl w:val="F9D4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A74F6"/>
    <w:multiLevelType w:val="multilevel"/>
    <w:tmpl w:val="BA7463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0F6CD3"/>
    <w:multiLevelType w:val="hybridMultilevel"/>
    <w:tmpl w:val="73E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55CD1"/>
    <w:multiLevelType w:val="hybridMultilevel"/>
    <w:tmpl w:val="FDAA03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07B1AC4"/>
    <w:multiLevelType w:val="hybridMultilevel"/>
    <w:tmpl w:val="1D2A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E2214"/>
    <w:multiLevelType w:val="hybridMultilevel"/>
    <w:tmpl w:val="2792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81AF6"/>
    <w:multiLevelType w:val="hybridMultilevel"/>
    <w:tmpl w:val="2AD801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646659EE"/>
    <w:multiLevelType w:val="hybridMultilevel"/>
    <w:tmpl w:val="8EDA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62AE1"/>
    <w:multiLevelType w:val="hybridMultilevel"/>
    <w:tmpl w:val="6536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293F4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6EF21BAB"/>
    <w:multiLevelType w:val="multilevel"/>
    <w:tmpl w:val="445CEE6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03A1F2A"/>
    <w:multiLevelType w:val="hybridMultilevel"/>
    <w:tmpl w:val="82D82E6E"/>
    <w:lvl w:ilvl="0" w:tplc="863A054C">
      <w:numFmt w:val="bullet"/>
      <w:lvlText w:val="•"/>
      <w:lvlJc w:val="left"/>
      <w:pPr>
        <w:ind w:left="2160" w:hanging="72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372BA2"/>
    <w:multiLevelType w:val="hybridMultilevel"/>
    <w:tmpl w:val="571A1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41A9A"/>
    <w:multiLevelType w:val="hybridMultilevel"/>
    <w:tmpl w:val="859E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B0067"/>
    <w:multiLevelType w:val="hybridMultilevel"/>
    <w:tmpl w:val="5B54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A1751"/>
    <w:multiLevelType w:val="hybridMultilevel"/>
    <w:tmpl w:val="43B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64541"/>
    <w:multiLevelType w:val="hybridMultilevel"/>
    <w:tmpl w:val="CB98182E"/>
    <w:lvl w:ilvl="0" w:tplc="2F2290B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8"/>
  </w:num>
  <w:num w:numId="3">
    <w:abstractNumId w:val="23"/>
  </w:num>
  <w:num w:numId="4">
    <w:abstractNumId w:val="10"/>
    <w:lvlOverride w:ilvl="0">
      <w:lvl w:ilvl="0">
        <w:start w:val="1"/>
        <w:numFmt w:val="decimal"/>
        <w:lvlText w:val="%1"/>
        <w:lvlJc w:val="left"/>
        <w:pPr>
          <w:ind w:left="1077" w:hanging="357"/>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584"/>
          </w:tabs>
          <w:ind w:left="1077" w:hanging="357"/>
        </w:pPr>
        <w:rPr>
          <w:rFonts w:hint="default"/>
        </w:rPr>
      </w:lvl>
    </w:lvlOverride>
    <w:lvlOverride w:ilvl="4">
      <w:lvl w:ilvl="4">
        <w:start w:val="1"/>
        <w:numFmt w:val="decimal"/>
        <w:lvlText w:val="%1.%2.%3.%4.%5"/>
        <w:lvlJc w:val="left"/>
        <w:pPr>
          <w:tabs>
            <w:tab w:val="num" w:pos="1728"/>
          </w:tabs>
          <w:ind w:left="1077" w:hanging="357"/>
        </w:pPr>
        <w:rPr>
          <w:rFonts w:hint="default"/>
        </w:rPr>
      </w:lvl>
    </w:lvlOverride>
    <w:lvlOverride w:ilvl="5">
      <w:lvl w:ilvl="5">
        <w:start w:val="1"/>
        <w:numFmt w:val="decimal"/>
        <w:lvlText w:val="%1.%2.%3.%4.%5.%6"/>
        <w:lvlJc w:val="left"/>
        <w:pPr>
          <w:tabs>
            <w:tab w:val="num" w:pos="1872"/>
          </w:tabs>
          <w:ind w:left="1077" w:hanging="357"/>
        </w:pPr>
        <w:rPr>
          <w:rFonts w:hint="default"/>
        </w:rPr>
      </w:lvl>
    </w:lvlOverride>
    <w:lvlOverride w:ilvl="6">
      <w:lvl w:ilvl="6">
        <w:start w:val="1"/>
        <w:numFmt w:val="decimal"/>
        <w:lvlText w:val="%1.%2.%3.%4.%5.%6.%7"/>
        <w:lvlJc w:val="left"/>
        <w:pPr>
          <w:tabs>
            <w:tab w:val="num" w:pos="2016"/>
          </w:tabs>
          <w:ind w:left="1077" w:hanging="357"/>
        </w:pPr>
        <w:rPr>
          <w:rFonts w:hint="default"/>
        </w:rPr>
      </w:lvl>
    </w:lvlOverride>
    <w:lvlOverride w:ilvl="7">
      <w:lvl w:ilvl="7">
        <w:start w:val="1"/>
        <w:numFmt w:val="decimal"/>
        <w:lvlText w:val="%1.%2.%3.%4.%5.%6.%7.%8"/>
        <w:lvlJc w:val="left"/>
        <w:pPr>
          <w:tabs>
            <w:tab w:val="num" w:pos="2160"/>
          </w:tabs>
          <w:ind w:left="1077" w:hanging="357"/>
        </w:pPr>
        <w:rPr>
          <w:rFonts w:hint="default"/>
        </w:rPr>
      </w:lvl>
    </w:lvlOverride>
    <w:lvlOverride w:ilvl="8">
      <w:lvl w:ilvl="8">
        <w:start w:val="1"/>
        <w:numFmt w:val="decimal"/>
        <w:lvlText w:val="%1.%2.%3.%4.%5.%6.%7.%8.%9"/>
        <w:lvlJc w:val="left"/>
        <w:pPr>
          <w:tabs>
            <w:tab w:val="num" w:pos="2304"/>
          </w:tabs>
          <w:ind w:left="1077" w:hanging="357"/>
        </w:pPr>
        <w:rPr>
          <w:rFonts w:hint="default"/>
        </w:rPr>
      </w:lvl>
    </w:lvlOverride>
  </w:num>
  <w:num w:numId="5">
    <w:abstractNumId w:val="12"/>
  </w:num>
  <w:num w:numId="6">
    <w:abstractNumId w:val="5"/>
  </w:num>
  <w:num w:numId="7">
    <w:abstractNumId w:val="19"/>
  </w:num>
  <w:num w:numId="8">
    <w:abstractNumId w:val="29"/>
  </w:num>
  <w:num w:numId="9">
    <w:abstractNumId w:val="18"/>
  </w:num>
  <w:num w:numId="10">
    <w:abstractNumId w:val="39"/>
  </w:num>
  <w:num w:numId="11">
    <w:abstractNumId w:val="9"/>
  </w:num>
  <w:num w:numId="12">
    <w:abstractNumId w:val="1"/>
  </w:num>
  <w:num w:numId="13">
    <w:abstractNumId w:val="30"/>
  </w:num>
  <w:num w:numId="14">
    <w:abstractNumId w:val="11"/>
  </w:num>
  <w:num w:numId="15">
    <w:abstractNumId w:val="31"/>
  </w:num>
  <w:num w:numId="16">
    <w:abstractNumId w:val="4"/>
  </w:num>
  <w:num w:numId="17">
    <w:abstractNumId w:val="26"/>
  </w:num>
  <w:num w:numId="18">
    <w:abstractNumId w:val="15"/>
  </w:num>
  <w:num w:numId="19">
    <w:abstractNumId w:val="6"/>
  </w:num>
  <w:num w:numId="20">
    <w:abstractNumId w:val="22"/>
  </w:num>
  <w:num w:numId="21">
    <w:abstractNumId w:val="25"/>
  </w:num>
  <w:num w:numId="22">
    <w:abstractNumId w:val="0"/>
  </w:num>
  <w:num w:numId="23">
    <w:abstractNumId w:val="14"/>
  </w:num>
  <w:num w:numId="24">
    <w:abstractNumId w:val="3"/>
  </w:num>
  <w:num w:numId="25">
    <w:abstractNumId w:val="34"/>
  </w:num>
  <w:num w:numId="26">
    <w:abstractNumId w:val="32"/>
  </w:num>
  <w:num w:numId="27">
    <w:abstractNumId w:val="7"/>
  </w:num>
  <w:num w:numId="28">
    <w:abstractNumId w:val="21"/>
  </w:num>
  <w:num w:numId="29">
    <w:abstractNumId w:val="35"/>
  </w:num>
  <w:num w:numId="30">
    <w:abstractNumId w:val="33"/>
  </w:num>
  <w:num w:numId="31">
    <w:abstractNumId w:val="2"/>
  </w:num>
  <w:num w:numId="32">
    <w:abstractNumId w:val="40"/>
  </w:num>
  <w:num w:numId="33">
    <w:abstractNumId w:val="28"/>
  </w:num>
  <w:num w:numId="34">
    <w:abstractNumId w:val="36"/>
  </w:num>
  <w:num w:numId="35">
    <w:abstractNumId w:val="13"/>
  </w:num>
  <w:num w:numId="36">
    <w:abstractNumId w:val="20"/>
  </w:num>
  <w:num w:numId="37">
    <w:abstractNumId w:val="37"/>
  </w:num>
  <w:num w:numId="38">
    <w:abstractNumId w:val="17"/>
  </w:num>
  <w:num w:numId="39">
    <w:abstractNumId w:val="24"/>
  </w:num>
  <w:num w:numId="40">
    <w:abstractNumId w:val="16"/>
  </w:num>
  <w:num w:numId="41">
    <w:abstractNumId w:val="2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6497"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26"/>
    <w:rsid w:val="00027209"/>
    <w:rsid w:val="00036B2A"/>
    <w:rsid w:val="000435EF"/>
    <w:rsid w:val="00055261"/>
    <w:rsid w:val="00064C7B"/>
    <w:rsid w:val="000701DD"/>
    <w:rsid w:val="00097E71"/>
    <w:rsid w:val="000A3E66"/>
    <w:rsid w:val="000A6737"/>
    <w:rsid w:val="000C3285"/>
    <w:rsid w:val="000C6D95"/>
    <w:rsid w:val="000D0132"/>
    <w:rsid w:val="000D2981"/>
    <w:rsid w:val="00111567"/>
    <w:rsid w:val="00116B8F"/>
    <w:rsid w:val="001208FF"/>
    <w:rsid w:val="001211A3"/>
    <w:rsid w:val="0014566B"/>
    <w:rsid w:val="001639C8"/>
    <w:rsid w:val="001734F0"/>
    <w:rsid w:val="00182EA1"/>
    <w:rsid w:val="00183F66"/>
    <w:rsid w:val="001A6D50"/>
    <w:rsid w:val="001C35CC"/>
    <w:rsid w:val="001C3D0B"/>
    <w:rsid w:val="001E1659"/>
    <w:rsid w:val="00216E76"/>
    <w:rsid w:val="00225DC8"/>
    <w:rsid w:val="002353CE"/>
    <w:rsid w:val="00271A58"/>
    <w:rsid w:val="00297F2A"/>
    <w:rsid w:val="002A5B0B"/>
    <w:rsid w:val="002C0D27"/>
    <w:rsid w:val="002F2023"/>
    <w:rsid w:val="003277A6"/>
    <w:rsid w:val="00347B6F"/>
    <w:rsid w:val="0039332C"/>
    <w:rsid w:val="003D5048"/>
    <w:rsid w:val="00402E08"/>
    <w:rsid w:val="00477F00"/>
    <w:rsid w:val="004B03F1"/>
    <w:rsid w:val="004C61F2"/>
    <w:rsid w:val="004D11F7"/>
    <w:rsid w:val="004D31AB"/>
    <w:rsid w:val="004D7C6A"/>
    <w:rsid w:val="00542EFF"/>
    <w:rsid w:val="00552106"/>
    <w:rsid w:val="0057450C"/>
    <w:rsid w:val="005919ED"/>
    <w:rsid w:val="005A6F7B"/>
    <w:rsid w:val="005C7F30"/>
    <w:rsid w:val="005D0EEB"/>
    <w:rsid w:val="00607896"/>
    <w:rsid w:val="00641412"/>
    <w:rsid w:val="006440F0"/>
    <w:rsid w:val="0065491D"/>
    <w:rsid w:val="00654D0D"/>
    <w:rsid w:val="00663C52"/>
    <w:rsid w:val="00677926"/>
    <w:rsid w:val="00691BE3"/>
    <w:rsid w:val="006D1A5C"/>
    <w:rsid w:val="006D5790"/>
    <w:rsid w:val="006F5F01"/>
    <w:rsid w:val="00712552"/>
    <w:rsid w:val="00743A8F"/>
    <w:rsid w:val="00773920"/>
    <w:rsid w:val="007C4B36"/>
    <w:rsid w:val="00801E1F"/>
    <w:rsid w:val="00805902"/>
    <w:rsid w:val="008131AF"/>
    <w:rsid w:val="008326A9"/>
    <w:rsid w:val="00833801"/>
    <w:rsid w:val="00840A1C"/>
    <w:rsid w:val="008517CD"/>
    <w:rsid w:val="00882002"/>
    <w:rsid w:val="00892BFB"/>
    <w:rsid w:val="008B4F9D"/>
    <w:rsid w:val="009011CB"/>
    <w:rsid w:val="0090195F"/>
    <w:rsid w:val="00912BD0"/>
    <w:rsid w:val="00915E7B"/>
    <w:rsid w:val="009238B9"/>
    <w:rsid w:val="0094520F"/>
    <w:rsid w:val="00981B9A"/>
    <w:rsid w:val="009C510B"/>
    <w:rsid w:val="009C659F"/>
    <w:rsid w:val="009D1C49"/>
    <w:rsid w:val="009D1E16"/>
    <w:rsid w:val="009D2C41"/>
    <w:rsid w:val="009D3BCD"/>
    <w:rsid w:val="00A1415A"/>
    <w:rsid w:val="00A22C4E"/>
    <w:rsid w:val="00AC7880"/>
    <w:rsid w:val="00AF5C26"/>
    <w:rsid w:val="00B04AE2"/>
    <w:rsid w:val="00B2533E"/>
    <w:rsid w:val="00B31F5A"/>
    <w:rsid w:val="00B35C87"/>
    <w:rsid w:val="00B404C4"/>
    <w:rsid w:val="00B575D1"/>
    <w:rsid w:val="00B62CBB"/>
    <w:rsid w:val="00B63AA6"/>
    <w:rsid w:val="00B8695D"/>
    <w:rsid w:val="00B87C8A"/>
    <w:rsid w:val="00BA104C"/>
    <w:rsid w:val="00BB58C2"/>
    <w:rsid w:val="00BB5E2B"/>
    <w:rsid w:val="00BC0072"/>
    <w:rsid w:val="00BD761F"/>
    <w:rsid w:val="00BE3902"/>
    <w:rsid w:val="00BF350D"/>
    <w:rsid w:val="00C120A8"/>
    <w:rsid w:val="00C35B67"/>
    <w:rsid w:val="00C525F4"/>
    <w:rsid w:val="00C71A05"/>
    <w:rsid w:val="00CA0842"/>
    <w:rsid w:val="00CA6F3C"/>
    <w:rsid w:val="00CB4C29"/>
    <w:rsid w:val="00CC0937"/>
    <w:rsid w:val="00CC0D4C"/>
    <w:rsid w:val="00CC5035"/>
    <w:rsid w:val="00CE35AB"/>
    <w:rsid w:val="00CF26DC"/>
    <w:rsid w:val="00D06F3B"/>
    <w:rsid w:val="00D230BA"/>
    <w:rsid w:val="00D2432E"/>
    <w:rsid w:val="00D44A86"/>
    <w:rsid w:val="00D701A7"/>
    <w:rsid w:val="00D71E26"/>
    <w:rsid w:val="00D722E5"/>
    <w:rsid w:val="00D8247A"/>
    <w:rsid w:val="00D84E87"/>
    <w:rsid w:val="00D87260"/>
    <w:rsid w:val="00D91A53"/>
    <w:rsid w:val="00D96D6C"/>
    <w:rsid w:val="00DE5D39"/>
    <w:rsid w:val="00E00446"/>
    <w:rsid w:val="00E07413"/>
    <w:rsid w:val="00E219D7"/>
    <w:rsid w:val="00E31FBA"/>
    <w:rsid w:val="00E376EA"/>
    <w:rsid w:val="00E569CB"/>
    <w:rsid w:val="00E71D9C"/>
    <w:rsid w:val="00EA3227"/>
    <w:rsid w:val="00EB1917"/>
    <w:rsid w:val="00EB2380"/>
    <w:rsid w:val="00EB6AC1"/>
    <w:rsid w:val="00EC5EFF"/>
    <w:rsid w:val="00EE3DFF"/>
    <w:rsid w:val="00EE48C1"/>
    <w:rsid w:val="00F0322C"/>
    <w:rsid w:val="00F1535E"/>
    <w:rsid w:val="00F35E50"/>
    <w:rsid w:val="00F4714E"/>
    <w:rsid w:val="00F557A4"/>
    <w:rsid w:val="00F84B20"/>
    <w:rsid w:val="00F92ED7"/>
    <w:rsid w:val="00FB621C"/>
    <w:rsid w:val="00FC321E"/>
    <w:rsid w:val="00FD7D94"/>
    <w:rsid w:val="00FF10B3"/>
    <w:rsid w:val="00FF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style="v-text-anchor:middle" fillcolor="#005eb8" strokecolor="#385d8a">
      <v:fill color="#005eb8"/>
      <v:stroke color="#385d8a" weight="2pt"/>
    </o:shapedefaults>
    <o:shapelayout v:ext="edit">
      <o:idmap v:ext="edit" data="1"/>
    </o:shapelayout>
  </w:shapeDefaults>
  <w:decimalSymbol w:val="."/>
  <w:listSeparator w:val=","/>
  <w14:docId w14:val="4E373926"/>
  <w15:docId w15:val="{E5CC0523-7703-4C54-8050-D7620C79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219D7"/>
    <w:pPr>
      <w:keepNext/>
      <w:keepLines/>
      <w:spacing w:before="24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D2432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D84E87"/>
    <w:pPr>
      <w:keepNext/>
      <w:tabs>
        <w:tab w:val="left" w:pos="1134"/>
      </w:tabs>
      <w:spacing w:after="120"/>
      <w:jc w:val="left"/>
      <w:outlineLvl w:val="2"/>
    </w:pPr>
    <w:rPr>
      <w:rFonts w:cs="Arial"/>
      <w:b/>
      <w:bCs/>
      <w:color w:val="000000"/>
      <w:szCs w:val="22"/>
    </w:rPr>
  </w:style>
  <w:style w:type="paragraph" w:styleId="Heading4">
    <w:name w:val="heading 4"/>
    <w:basedOn w:val="Heading3"/>
    <w:next w:val="Normal"/>
    <w:link w:val="Heading4Char"/>
    <w:qFormat/>
    <w:rsid w:val="00E00446"/>
    <w:pPr>
      <w:tabs>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19D7"/>
    <w:rPr>
      <w:rFonts w:ascii="Arial" w:eastAsiaTheme="majorEastAsia" w:hAnsi="Arial" w:cstheme="majorBidi"/>
      <w:b/>
      <w:bCs/>
      <w:color w:val="000000" w:themeColor="text1"/>
      <w:sz w:val="28"/>
      <w:szCs w:val="28"/>
    </w:rPr>
  </w:style>
  <w:style w:type="paragraph" w:styleId="TOCHeading">
    <w:name w:val="TOC Heading"/>
    <w:basedOn w:val="Heading1"/>
    <w:next w:val="Normal"/>
    <w:uiPriority w:val="39"/>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D2432E"/>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D84E87"/>
    <w:rPr>
      <w:rFonts w:ascii="Arial" w:eastAsia="Times New Roman" w:hAnsi="Arial" w:cs="Arial"/>
      <w:b/>
      <w:bCs/>
      <w:color w:val="00000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link w:val="ListParagraphChar"/>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ListParagraphChar">
    <w:name w:val="List Paragraph Char"/>
    <w:link w:val="ListParagraph"/>
    <w:uiPriority w:val="34"/>
    <w:rsid w:val="00981B9A"/>
    <w:rPr>
      <w:rFonts w:ascii="Arial" w:eastAsia="Times New Roman" w:hAnsi="Arial" w:cs="Times New Roman"/>
      <w:szCs w:val="20"/>
    </w:rPr>
  </w:style>
  <w:style w:type="paragraph" w:styleId="TOC3">
    <w:name w:val="toc 3"/>
    <w:basedOn w:val="Normal"/>
    <w:next w:val="Normal"/>
    <w:autoRedefine/>
    <w:uiPriority w:val="39"/>
    <w:unhideWhenUsed/>
    <w:rsid w:val="004B03F1"/>
    <w:pPr>
      <w:spacing w:after="100"/>
      <w:ind w:left="440"/>
    </w:pPr>
  </w:style>
  <w:style w:type="character" w:styleId="CommentReference">
    <w:name w:val="annotation reference"/>
    <w:basedOn w:val="DefaultParagraphFont"/>
    <w:uiPriority w:val="99"/>
    <w:semiHidden/>
    <w:unhideWhenUsed/>
    <w:rsid w:val="00F35E50"/>
    <w:rPr>
      <w:sz w:val="16"/>
      <w:szCs w:val="16"/>
    </w:rPr>
  </w:style>
  <w:style w:type="paragraph" w:styleId="CommentText">
    <w:name w:val="annotation text"/>
    <w:basedOn w:val="Normal"/>
    <w:link w:val="CommentTextChar"/>
    <w:uiPriority w:val="99"/>
    <w:semiHidden/>
    <w:unhideWhenUsed/>
    <w:rsid w:val="00F35E50"/>
    <w:rPr>
      <w:sz w:val="20"/>
    </w:rPr>
  </w:style>
  <w:style w:type="character" w:customStyle="1" w:styleId="CommentTextChar">
    <w:name w:val="Comment Text Char"/>
    <w:basedOn w:val="DefaultParagraphFont"/>
    <w:link w:val="CommentText"/>
    <w:uiPriority w:val="99"/>
    <w:semiHidden/>
    <w:rsid w:val="00F35E5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5E50"/>
    <w:rPr>
      <w:b/>
      <w:bCs/>
    </w:rPr>
  </w:style>
  <w:style w:type="character" w:customStyle="1" w:styleId="CommentSubjectChar">
    <w:name w:val="Comment Subject Char"/>
    <w:basedOn w:val="CommentTextChar"/>
    <w:link w:val="CommentSubject"/>
    <w:uiPriority w:val="99"/>
    <w:semiHidden/>
    <w:rsid w:val="00F35E50"/>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1C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52365">
      <w:bodyDiv w:val="1"/>
      <w:marLeft w:val="0"/>
      <w:marRight w:val="0"/>
      <w:marTop w:val="0"/>
      <w:marBottom w:val="0"/>
      <w:divBdr>
        <w:top w:val="none" w:sz="0" w:space="0" w:color="auto"/>
        <w:left w:val="none" w:sz="0" w:space="0" w:color="auto"/>
        <w:bottom w:val="none" w:sz="0" w:space="0" w:color="auto"/>
        <w:right w:val="none" w:sz="0" w:space="0" w:color="auto"/>
      </w:divBdr>
    </w:div>
    <w:div w:id="1181696380">
      <w:bodyDiv w:val="1"/>
      <w:marLeft w:val="0"/>
      <w:marRight w:val="0"/>
      <w:marTop w:val="0"/>
      <w:marBottom w:val="0"/>
      <w:divBdr>
        <w:top w:val="none" w:sz="0" w:space="0" w:color="auto"/>
        <w:left w:val="none" w:sz="0" w:space="0" w:color="auto"/>
        <w:bottom w:val="none" w:sz="0" w:space="0" w:color="auto"/>
        <w:right w:val="none" w:sz="0" w:space="0" w:color="auto"/>
      </w:divBdr>
    </w:div>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ni.gov.uk" TargetMode="External"/><Relationship Id="rId18" Type="http://schemas.openxmlformats.org/officeDocument/2006/relationships/hyperlink" Target="https://www.legislation.gov.uk" TargetMode="External"/><Relationship Id="rId26" Type="http://schemas.openxmlformats.org/officeDocument/2006/relationships/hyperlink" Target="https://www.legislation.gov.uk"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legislation.gov.uk" TargetMode="External"/><Relationship Id="rId34" Type="http://schemas.openxmlformats.org/officeDocument/2006/relationships/footer" Target="footer3.xml"/><Relationship Id="rId42" Type="http://schemas.openxmlformats.org/officeDocument/2006/relationships/hyperlink" Target="https://lft.nhs.net" TargetMode="Externa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www.legislation.gov.uk" TargetMode="External"/><Relationship Id="rId25" Type="http://schemas.openxmlformats.org/officeDocument/2006/relationships/hyperlink" Target="https://www.legislation.gov.uk" TargetMode="External"/><Relationship Id="rId33" Type="http://schemas.openxmlformats.org/officeDocument/2006/relationships/hyperlink" Target="file:///T:\Trust-wide%20Documents\Templates%20and%20Policy%20Governance\STAGE%202%20-%20Full%20Equality%20Impact%20Assessment%20Template.docx" TargetMode="External"/><Relationship Id="rId38" Type="http://schemas.openxmlformats.org/officeDocument/2006/relationships/hyperlink" Target="mailto:customerservices@publicguardian.gsi.gov.uk" TargetMode="External"/><Relationship Id="rId2" Type="http://schemas.openxmlformats.org/officeDocument/2006/relationships/numbering" Target="numbering.xml"/><Relationship Id="rId16" Type="http://schemas.openxmlformats.org/officeDocument/2006/relationships/hyperlink" Target="https://www.gov.uk" TargetMode="External"/><Relationship Id="rId20" Type="http://schemas.openxmlformats.org/officeDocument/2006/relationships/hyperlink" Target="http://intranet/" TargetMode="External"/><Relationship Id="rId29" Type="http://schemas.openxmlformats.org/officeDocument/2006/relationships/hyperlink" Target="https://www.legislation.gov.uk" TargetMode="External"/><Relationship Id="rId41" Type="http://schemas.openxmlformats.org/officeDocument/2006/relationships/hyperlink" Target="https://digital.nhs.uk/services/nhsmail/guidance-for-sending-secure-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uk" TargetMode="External"/><Relationship Id="rId32" Type="http://schemas.openxmlformats.org/officeDocument/2006/relationships/hyperlink" Target="https://www.legislation.gov.uk" TargetMode="External"/><Relationship Id="rId37" Type="http://schemas.openxmlformats.org/officeDocument/2006/relationships/hyperlink" Target="https://www.gov.uk/government/publications/search-public-guardian-registers" TargetMode="External"/><Relationship Id="rId40" Type="http://schemas.openxmlformats.org/officeDocument/2006/relationships/hyperlink" Target="mailto:gwh.info.gov@nhs.net" TargetMode="External"/><Relationship Id="rId5" Type="http://schemas.openxmlformats.org/officeDocument/2006/relationships/webSettings" Target="webSettings.xml"/><Relationship Id="rId15" Type="http://schemas.openxmlformats.org/officeDocument/2006/relationships/hyperlink" Target="https://www.gov.uk" TargetMode="External"/><Relationship Id="rId23" Type="http://schemas.openxmlformats.org/officeDocument/2006/relationships/hyperlink" Target="https://www.gov.uk" TargetMode="External"/><Relationship Id="rId28" Type="http://schemas.openxmlformats.org/officeDocument/2006/relationships/hyperlink" Target="https://www.legislation.gov.uk"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legislation.gov.uk" TargetMode="External"/><Relationship Id="rId31" Type="http://schemas.openxmlformats.org/officeDocument/2006/relationships/hyperlink" Target="https://portal.nhs.ne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gt.hscic.gov.uk" TargetMode="External"/><Relationship Id="rId22" Type="http://schemas.openxmlformats.org/officeDocument/2006/relationships/hyperlink" Target="https://www.legislation.gov.uk" TargetMode="External"/><Relationship Id="rId27" Type="http://schemas.openxmlformats.org/officeDocument/2006/relationships/hyperlink" Target="https://www.legislation.gov.uk" TargetMode="External"/><Relationship Id="rId30" Type="http://schemas.openxmlformats.org/officeDocument/2006/relationships/hyperlink" Target="https://digital.nhs.uk" TargetMode="External"/><Relationship Id="rId35" Type="http://schemas.openxmlformats.org/officeDocument/2006/relationships/image" Target="media/image4.pn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67EA-2186-4ABC-9DB0-03E7598F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33</Pages>
  <Words>13135</Words>
  <Characters>74874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87834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CONNOLLY, Pamela (GREAT WESTERN HOSPITALS NHS FOUNDATION TRUST)</cp:lastModifiedBy>
  <cp:revision>21</cp:revision>
  <cp:lastPrinted>2018-10-30T08:58:00Z</cp:lastPrinted>
  <dcterms:created xsi:type="dcterms:W3CDTF">2021-01-11T13:55:00Z</dcterms:created>
  <dcterms:modified xsi:type="dcterms:W3CDTF">2021-11-26T14:20:00Z</dcterms:modified>
</cp:coreProperties>
</file>